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253356" w:themeColor="accent1" w:themeShade="80"/>
          <w:sz w:val="32"/>
          <w:szCs w:val="28"/>
          <w:lang w:val="en-US" w:eastAsia="nb-NO"/>
        </w:rPr>
        <w:id w:val="-1624074324"/>
        <w:docPartObj>
          <w:docPartGallery w:val="Cover Pages"/>
          <w:docPartUnique/>
        </w:docPartObj>
      </w:sdtPr>
      <w:sdtEndPr>
        <w:rPr>
          <w:sz w:val="36"/>
        </w:rPr>
      </w:sdtEndPr>
      <w:sdtContent>
        <w:p w14:paraId="6066CEE0" w14:textId="77777777" w:rsidR="00DB537D" w:rsidRPr="00B81887" w:rsidRDefault="00DB537D" w:rsidP="0034175E">
          <w:pPr>
            <w:pStyle w:val="PEPPOLNormal"/>
          </w:pPr>
        </w:p>
        <w:p w14:paraId="631B4F86" w14:textId="77777777" w:rsidR="005C60EF" w:rsidRPr="00B81887" w:rsidRDefault="005C60EF" w:rsidP="0034175E">
          <w:pPr>
            <w:pStyle w:val="PEPPOLNormal"/>
          </w:pPr>
        </w:p>
        <w:p w14:paraId="29C6B3F4" w14:textId="77777777" w:rsidR="005C60EF" w:rsidRPr="00B81887" w:rsidRDefault="005C60EF" w:rsidP="0034175E">
          <w:pPr>
            <w:pStyle w:val="PEPPOLNormal"/>
          </w:pPr>
        </w:p>
        <w:p w14:paraId="46F25D2D" w14:textId="77777777" w:rsidR="005C60EF" w:rsidRPr="00B81887" w:rsidRDefault="005C60EF" w:rsidP="0034175E">
          <w:pPr>
            <w:pStyle w:val="PEPPOLNormal"/>
          </w:pPr>
        </w:p>
        <w:p w14:paraId="5AED5067" w14:textId="77777777" w:rsidR="005C60EF" w:rsidRPr="00B81887" w:rsidRDefault="005C60EF" w:rsidP="0034175E">
          <w:pPr>
            <w:pStyle w:val="PEPPOLNormal"/>
          </w:pPr>
        </w:p>
        <w:p w14:paraId="5D325D14" w14:textId="77777777" w:rsidR="005C60EF" w:rsidRPr="00B81887" w:rsidRDefault="005C60EF" w:rsidP="0034175E">
          <w:pPr>
            <w:pStyle w:val="PEPPOLNormal"/>
          </w:pPr>
        </w:p>
        <w:p w14:paraId="7029A40D" w14:textId="77777777" w:rsidR="005C60EF" w:rsidRPr="00B81887" w:rsidRDefault="005C60EF" w:rsidP="0034175E">
          <w:pPr>
            <w:pStyle w:val="PEPPOLNormal"/>
          </w:pPr>
        </w:p>
        <w:p w14:paraId="0887741F" w14:textId="77777777" w:rsidR="005C60EF" w:rsidRPr="00B81887" w:rsidRDefault="005C60EF" w:rsidP="0034175E">
          <w:pPr>
            <w:pStyle w:val="PEPPOLNormal"/>
          </w:pPr>
        </w:p>
        <w:p w14:paraId="4F7E843B" w14:textId="77777777" w:rsidR="005C60EF" w:rsidRPr="00B81887" w:rsidRDefault="005C60EF" w:rsidP="0034175E">
          <w:pPr>
            <w:pStyle w:val="PEPPOLNormal"/>
            <w:rPr>
              <w:rStyle w:val="PEPPOLNormalTegn"/>
              <w:rFonts w:cstheme="minorBidi"/>
              <w:color w:val="4A66AC" w:themeColor="accent1"/>
              <w:lang w:eastAsia="nb-NO"/>
            </w:rPr>
          </w:pPr>
        </w:p>
        <w:p w14:paraId="43A3A366" w14:textId="77777777" w:rsidR="00784020" w:rsidRPr="00B81887" w:rsidRDefault="00643BF6" w:rsidP="00272A2E">
          <w:pPr>
            <w:pStyle w:val="PEPPOLSUBTITLE"/>
            <w:rPr>
              <w:color w:val="4A66AC" w:themeColor="accent1"/>
            </w:rPr>
          </w:pPr>
          <w:r w:rsidRPr="00B81887">
            <w:rPr>
              <w:noProof/>
              <w:lang w:eastAsia="en-US"/>
            </w:rPr>
            <w:drawing>
              <wp:inline distT="0" distB="0" distL="0" distR="0" wp14:anchorId="7E532728" wp14:editId="57122273">
                <wp:extent cx="4621509" cy="1052677"/>
                <wp:effectExtent l="0" t="0" r="0" b="0"/>
                <wp:docPr id="39" name="Bilde 581" descr="PEPPOL_Logo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81" descr="PEPPOL_Logo_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9379" cy="106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C06355" w14:textId="77777777" w:rsidR="00643BF6" w:rsidRPr="00276322" w:rsidRDefault="00643BF6" w:rsidP="005C60EF">
          <w:pPr>
            <w:pStyle w:val="PEPPOLTITTLE"/>
            <w:rPr>
              <w:sz w:val="96"/>
              <w:lang w:val="en-GB"/>
            </w:rPr>
          </w:pPr>
        </w:p>
        <w:sdt>
          <w:sdtPr>
            <w:rPr>
              <w:rStyle w:val="PEPPOLSUBTITLETegn"/>
              <w:sz w:val="48"/>
            </w:rPr>
            <w:alias w:val="Tittel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PEPPOLSUBTITLETegn"/>
            </w:rPr>
          </w:sdtEndPr>
          <w:sdtContent>
            <w:p w14:paraId="2AAFA792" w14:textId="77777777" w:rsidR="00784020" w:rsidRPr="00276322" w:rsidRDefault="002276C8" w:rsidP="005C60EF">
              <w:pPr>
                <w:pStyle w:val="PEPPOLTITTLE"/>
                <w:rPr>
                  <w:rStyle w:val="PEPPOLSUBTITLETegn"/>
                  <w:sz w:val="48"/>
                </w:rPr>
              </w:pPr>
              <w:r>
                <w:rPr>
                  <w:rStyle w:val="PEPPOLSUBTITLETegn"/>
                  <w:sz w:val="48"/>
                </w:rPr>
                <w:t>OpenPEPPOL Capacity Building Deliverable</w:t>
              </w:r>
            </w:p>
          </w:sdtContent>
        </w:sdt>
        <w:sdt>
          <w:sdtPr>
            <w:alias w:val="Undertittel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FBC50E6" w14:textId="77777777" w:rsidR="00784020" w:rsidRPr="00272A2E" w:rsidRDefault="002276C8" w:rsidP="00272A2E">
              <w:pPr>
                <w:pStyle w:val="PEPPOLSUBTITLE"/>
              </w:pPr>
              <w:r w:rsidRPr="00272A2E">
                <w:t>Security</w:t>
              </w:r>
              <w:r w:rsidR="00272A2E" w:rsidRPr="00272A2E">
                <w:t>; time stamps and checksums</w:t>
              </w:r>
            </w:p>
          </w:sdtContent>
        </w:sdt>
        <w:p w14:paraId="66785E9F" w14:textId="77777777" w:rsidR="00276322" w:rsidRDefault="00276322" w:rsidP="00272A2E">
          <w:pPr>
            <w:pStyle w:val="PEPPOLSUBTITLE"/>
          </w:pPr>
          <w:bookmarkStart w:id="0" w:name="_Toc448241307"/>
        </w:p>
        <w:p w14:paraId="32D2D626" w14:textId="43F437FE" w:rsidR="00276322" w:rsidRPr="00276322" w:rsidRDefault="00276322" w:rsidP="00272A2E">
          <w:pPr>
            <w:pStyle w:val="PEPPOLSUBTITLE"/>
          </w:pPr>
          <w:r w:rsidRPr="00276322">
            <w:t xml:space="preserve">Last updated </w:t>
          </w:r>
          <w:bookmarkEnd w:id="0"/>
          <w:r w:rsidR="00AD6A39">
            <w:fldChar w:fldCharType="begin"/>
          </w:r>
          <w:r w:rsidR="00AD6A39">
            <w:instrText xml:space="preserve"> SAVEDATE   \* MERGEFORMAT </w:instrText>
          </w:r>
          <w:r w:rsidR="00AD6A39">
            <w:fldChar w:fldCharType="separate"/>
          </w:r>
          <w:r w:rsidR="0083675F">
            <w:rPr>
              <w:noProof/>
            </w:rPr>
            <w:t>12/22/2016 12:31:00 AM</w:t>
          </w:r>
          <w:r w:rsidR="00AD6A39">
            <w:fldChar w:fldCharType="end"/>
          </w:r>
        </w:p>
        <w:p w14:paraId="5D6E4838" w14:textId="77777777" w:rsidR="00D7599E" w:rsidRPr="00B81887" w:rsidRDefault="00D7599E" w:rsidP="00272A2E">
          <w:pPr>
            <w:pStyle w:val="PEPPOLSUBTITLE"/>
          </w:pPr>
        </w:p>
        <w:p w14:paraId="6AD57311" w14:textId="77777777" w:rsidR="00D7599E" w:rsidRPr="00B81887" w:rsidRDefault="00D7599E" w:rsidP="00272A2E">
          <w:pPr>
            <w:pStyle w:val="PEPPOLSUBTITLE"/>
          </w:pPr>
        </w:p>
        <w:p w14:paraId="19AC5481" w14:textId="77777777" w:rsidR="00D7599E" w:rsidRPr="00B81887" w:rsidRDefault="00D7599E" w:rsidP="00272A2E">
          <w:pPr>
            <w:pStyle w:val="PEPPOLSUBTITLE"/>
          </w:pPr>
        </w:p>
        <w:p w14:paraId="0332A020" w14:textId="77777777" w:rsidR="00D7599E" w:rsidRPr="00B81887" w:rsidRDefault="00D7599E" w:rsidP="00272A2E">
          <w:pPr>
            <w:pStyle w:val="PEPPOLSUBTITLE"/>
          </w:pPr>
        </w:p>
        <w:p w14:paraId="48359523" w14:textId="77777777" w:rsidR="00D7599E" w:rsidRPr="00B81887" w:rsidRDefault="00D7599E" w:rsidP="00272A2E">
          <w:pPr>
            <w:pStyle w:val="PEPPOLSUBTITLE"/>
          </w:pPr>
        </w:p>
        <w:p w14:paraId="4AA72B52" w14:textId="77777777" w:rsidR="00D7599E" w:rsidRPr="00B81887" w:rsidRDefault="001952AE" w:rsidP="00272A2E">
          <w:pPr>
            <w:pStyle w:val="PEPPOLSUBTITLE"/>
          </w:pPr>
          <w:sdt>
            <w:sdtPr>
              <w:alias w:val="Firma"/>
              <w:tag w:val=""/>
              <w:id w:val="13735039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B7368" w:rsidRPr="00B81887">
                <w:t>OpenPEPPOL AISBL</w:t>
              </w:r>
            </w:sdtContent>
          </w:sdt>
        </w:p>
        <w:p w14:paraId="0A35BDD6" w14:textId="77777777" w:rsidR="00D7599E" w:rsidRPr="00B81887" w:rsidRDefault="00D7599E" w:rsidP="00272A2E">
          <w:pPr>
            <w:pStyle w:val="PEPPOLSUBTITLE"/>
          </w:pPr>
          <w:proofErr w:type="spellStart"/>
          <w:r w:rsidRPr="00B81887">
            <w:t>Rond</w:t>
          </w:r>
          <w:proofErr w:type="spellEnd"/>
          <w:r w:rsidRPr="00B81887">
            <w:t>-point Schuman 6,</w:t>
          </w:r>
          <w:r w:rsidR="00E958D5">
            <w:t xml:space="preserve"> </w:t>
          </w:r>
          <w:r w:rsidRPr="00B81887">
            <w:t>box 5</w:t>
          </w:r>
        </w:p>
        <w:p w14:paraId="4AC07470" w14:textId="77777777" w:rsidR="00D7599E" w:rsidRPr="00B81887" w:rsidRDefault="00D7599E" w:rsidP="00272A2E">
          <w:pPr>
            <w:pStyle w:val="PEPPOLSUBTITLE"/>
          </w:pPr>
          <w:r w:rsidRPr="00B81887">
            <w:t>1040 Brussels Belgium</w:t>
          </w:r>
        </w:p>
        <w:p w14:paraId="543FC148" w14:textId="77777777" w:rsidR="00784020" w:rsidRPr="00B81887" w:rsidRDefault="001952AE" w:rsidP="00272A2E">
          <w:pPr>
            <w:pStyle w:val="PEPPOLSUBTITLE"/>
            <w:rPr>
              <w:color w:val="4A66AC" w:themeColor="accent1"/>
            </w:rPr>
          </w:pPr>
        </w:p>
      </w:sdtContent>
    </w:sdt>
    <w:p w14:paraId="2CE6C3C5" w14:textId="77777777" w:rsidR="00EC6855" w:rsidRPr="00276322" w:rsidRDefault="00B63012" w:rsidP="0034175E">
      <w:pPr>
        <w:pStyle w:val="Heading1"/>
      </w:pPr>
      <w:r w:rsidRPr="00276322">
        <w:t xml:space="preserve"> </w:t>
      </w:r>
      <w:r w:rsidR="00784020" w:rsidRPr="00276322">
        <w:br w:type="page"/>
      </w:r>
    </w:p>
    <w:p w14:paraId="2BF12386" w14:textId="77777777" w:rsidR="00C35476" w:rsidRPr="00095B4C" w:rsidRDefault="00C35476" w:rsidP="00095B4C">
      <w:pPr>
        <w:pStyle w:val="PEPPOLMARKER"/>
        <w:rPr>
          <w:sz w:val="36"/>
        </w:rPr>
      </w:pPr>
      <w:bookmarkStart w:id="1" w:name="_Toc448240969"/>
      <w:r w:rsidRPr="00095B4C">
        <w:rPr>
          <w:sz w:val="36"/>
        </w:rPr>
        <w:lastRenderedPageBreak/>
        <w:t>Document Logistic</w:t>
      </w:r>
      <w:bookmarkEnd w:id="1"/>
    </w:p>
    <w:p w14:paraId="5CECA60B" w14:textId="77777777" w:rsidR="00C35476" w:rsidRDefault="00C35476" w:rsidP="0034175E">
      <w:pPr>
        <w:pStyle w:val="PEPPOLNormal"/>
      </w:pPr>
      <w:bookmarkStart w:id="2" w:name="_Toc448240970"/>
      <w:r>
        <w:t xml:space="preserve">This is a snapshot of an on-line document. Paper copies are valid only on the day they are printed. Refer to the author if you are in any doubt </w:t>
      </w:r>
      <w:r w:rsidRPr="00661DCC">
        <w:t>about</w:t>
      </w:r>
      <w:r>
        <w:t xml:space="preserve"> the currency of this document.</w:t>
      </w:r>
      <w:bookmarkEnd w:id="2"/>
    </w:p>
    <w:p w14:paraId="7DAAD014" w14:textId="13321619" w:rsidR="00C35476" w:rsidRDefault="00C35476" w:rsidP="0034175E">
      <w:pPr>
        <w:pStyle w:val="PEPPOLNormal"/>
      </w:pPr>
      <w:r>
        <w:t>This Document r</w:t>
      </w:r>
      <w:r w:rsidR="00E958D5">
        <w:t>elates to</w:t>
      </w:r>
      <w:r>
        <w:t xml:space="preserve">: </w:t>
      </w:r>
      <w:r w:rsidR="00585A28">
        <w:t>Upgraded security within AS2 transmissions in OpenPEPPOL</w:t>
      </w:r>
      <w:r>
        <w:t xml:space="preserve"> </w:t>
      </w:r>
    </w:p>
    <w:p w14:paraId="1CFD9889" w14:textId="77777777" w:rsidR="00C35476" w:rsidRDefault="00C35476" w:rsidP="00095B4C">
      <w:pPr>
        <w:pStyle w:val="PEPPOLMARKER"/>
      </w:pPr>
      <w:bookmarkStart w:id="3" w:name="_Toc448240971"/>
      <w:r>
        <w:t>Revision History</w:t>
      </w:r>
      <w:bookmarkEnd w:id="3"/>
    </w:p>
    <w:tbl>
      <w:tblPr>
        <w:tblW w:w="0" w:type="auto"/>
        <w:tblInd w:w="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24"/>
        <w:gridCol w:w="1997"/>
        <w:gridCol w:w="3465"/>
        <w:gridCol w:w="1276"/>
      </w:tblGrid>
      <w:tr w:rsidR="00C35476" w:rsidRPr="002920B4" w14:paraId="6E30B17A" w14:textId="77777777" w:rsidTr="00DB5065">
        <w:tc>
          <w:tcPr>
            <w:tcW w:w="4785" w:type="dxa"/>
            <w:gridSpan w:val="3"/>
          </w:tcPr>
          <w:p w14:paraId="47D1909E" w14:textId="77777777" w:rsidR="00C35476" w:rsidRPr="002920B4" w:rsidRDefault="00C35476" w:rsidP="002276C8">
            <w:pPr>
              <w:pStyle w:val="PEPPOLTABELLER"/>
            </w:pPr>
            <w:bookmarkStart w:id="4" w:name="TDateOfThisRevision"/>
            <w:r w:rsidRPr="002920B4">
              <w:t>Date of this revision</w:t>
            </w:r>
            <w:bookmarkEnd w:id="4"/>
            <w:r w:rsidR="002276C8">
              <w:t>:  25-04-2016</w:t>
            </w:r>
          </w:p>
        </w:tc>
        <w:tc>
          <w:tcPr>
            <w:tcW w:w="4741" w:type="dxa"/>
            <w:gridSpan w:val="2"/>
          </w:tcPr>
          <w:p w14:paraId="4DA5D6DD" w14:textId="77777777" w:rsidR="00C35476" w:rsidRPr="002920B4" w:rsidRDefault="00C35476" w:rsidP="0034175E">
            <w:pPr>
              <w:pStyle w:val="PEPPOLTABELLER"/>
            </w:pPr>
            <w:bookmarkStart w:id="5" w:name="TDateOfNextRevision"/>
            <w:r w:rsidRPr="002920B4">
              <w:t>Date of next revision</w:t>
            </w:r>
            <w:bookmarkEnd w:id="5"/>
            <w:r w:rsidRPr="002920B4">
              <w:t xml:space="preserve">    </w:t>
            </w:r>
            <w:r w:rsidRPr="002920B4">
              <w:rPr>
                <w:color w:val="0000FF"/>
              </w:rPr>
              <w:t>(date)</w:t>
            </w:r>
          </w:p>
        </w:tc>
      </w:tr>
      <w:tr w:rsidR="00C35476" w:rsidRPr="002920B4" w14:paraId="072FDC6F" w14:textId="77777777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14:paraId="5D158350" w14:textId="77777777" w:rsidR="00C35476" w:rsidRPr="002920B4" w:rsidRDefault="00C35476" w:rsidP="0034175E">
            <w:pPr>
              <w:pStyle w:val="PEPPOLTABELLER"/>
            </w:pPr>
            <w:r w:rsidRPr="002920B4">
              <w:t>NR</w:t>
            </w:r>
          </w:p>
        </w:tc>
        <w:tc>
          <w:tcPr>
            <w:tcW w:w="1824" w:type="dxa"/>
          </w:tcPr>
          <w:p w14:paraId="1D5B86C8" w14:textId="77777777" w:rsidR="00C35476" w:rsidRPr="002920B4" w:rsidRDefault="00C35476" w:rsidP="0034175E">
            <w:pPr>
              <w:pStyle w:val="PEPPOLTABELLER"/>
            </w:pPr>
            <w:bookmarkStart w:id="6" w:name="TRevisionDate"/>
            <w:r w:rsidRPr="002920B4">
              <w:t>Date</w:t>
            </w:r>
            <w:bookmarkEnd w:id="6"/>
          </w:p>
        </w:tc>
        <w:tc>
          <w:tcPr>
            <w:tcW w:w="5462" w:type="dxa"/>
            <w:gridSpan w:val="2"/>
          </w:tcPr>
          <w:p w14:paraId="5B4E5DA7" w14:textId="77777777" w:rsidR="00C35476" w:rsidRPr="002920B4" w:rsidRDefault="00C35476" w:rsidP="0034175E">
            <w:pPr>
              <w:pStyle w:val="PEPPOLTABELLER"/>
            </w:pPr>
            <w:bookmarkStart w:id="7" w:name="TSummaryOfChanges"/>
            <w:r w:rsidRPr="002920B4">
              <w:t>Summary of Changes</w:t>
            </w:r>
            <w:bookmarkEnd w:id="7"/>
          </w:p>
        </w:tc>
        <w:tc>
          <w:tcPr>
            <w:tcW w:w="1276" w:type="dxa"/>
          </w:tcPr>
          <w:p w14:paraId="686BB5F1" w14:textId="77777777" w:rsidR="00C35476" w:rsidRPr="002920B4" w:rsidRDefault="00C35476" w:rsidP="0034175E">
            <w:pPr>
              <w:pStyle w:val="PEPPOLTABELLER"/>
            </w:pPr>
            <w:bookmarkStart w:id="8" w:name="TChangesMarked"/>
            <w:r w:rsidRPr="002920B4">
              <w:t>Changes marked</w:t>
            </w:r>
            <w:bookmarkEnd w:id="8"/>
          </w:p>
        </w:tc>
      </w:tr>
      <w:tr w:rsidR="00C35476" w:rsidRPr="009D7733" w14:paraId="5011AF73" w14:textId="77777777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14:paraId="522847CB" w14:textId="77777777" w:rsidR="00C35476" w:rsidRPr="009D7733" w:rsidRDefault="00C35476" w:rsidP="0034175E">
            <w:pPr>
              <w:pStyle w:val="PEPPOLTABELLER"/>
            </w:pPr>
          </w:p>
        </w:tc>
        <w:tc>
          <w:tcPr>
            <w:tcW w:w="1824" w:type="dxa"/>
          </w:tcPr>
          <w:p w14:paraId="6E571CCC" w14:textId="77777777" w:rsidR="00C35476" w:rsidRPr="002920B4" w:rsidRDefault="00BE1A79" w:rsidP="002276C8">
            <w:pPr>
              <w:pStyle w:val="PEPPOLTABELLER"/>
            </w:pPr>
            <w:r>
              <w:t>28 April 2016</w:t>
            </w:r>
          </w:p>
        </w:tc>
        <w:tc>
          <w:tcPr>
            <w:tcW w:w="5462" w:type="dxa"/>
            <w:gridSpan w:val="2"/>
          </w:tcPr>
          <w:p w14:paraId="1EF8A716" w14:textId="77777777" w:rsidR="00C35476" w:rsidRPr="009D7733" w:rsidRDefault="00C35476" w:rsidP="0034175E">
            <w:pPr>
              <w:pStyle w:val="PEPPOLTABELLER"/>
            </w:pPr>
            <w:r w:rsidRPr="009D7733">
              <w:t xml:space="preserve">First draft </w:t>
            </w:r>
          </w:p>
        </w:tc>
        <w:tc>
          <w:tcPr>
            <w:tcW w:w="1276" w:type="dxa"/>
          </w:tcPr>
          <w:p w14:paraId="442EBCE6" w14:textId="77777777" w:rsidR="00C35476" w:rsidRPr="009D7733" w:rsidRDefault="00BE1A79" w:rsidP="00867592">
            <w:pPr>
              <w:pStyle w:val="PEPPOLTABELLER"/>
              <w:ind w:left="0"/>
            </w:pPr>
            <w:proofErr w:type="spellStart"/>
            <w:r>
              <w:t>S.O.Cook</w:t>
            </w:r>
            <w:proofErr w:type="spellEnd"/>
          </w:p>
        </w:tc>
      </w:tr>
      <w:tr w:rsidR="00C35476" w:rsidRPr="009D7733" w14:paraId="352EB3D5" w14:textId="77777777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14:paraId="5184BE32" w14:textId="77777777" w:rsidR="00C35476" w:rsidRPr="009D7733" w:rsidRDefault="00C35476" w:rsidP="0034175E">
            <w:pPr>
              <w:pStyle w:val="PEPPOLTABELLER"/>
            </w:pPr>
          </w:p>
        </w:tc>
        <w:tc>
          <w:tcPr>
            <w:tcW w:w="1824" w:type="dxa"/>
          </w:tcPr>
          <w:p w14:paraId="6C8161D2" w14:textId="3E242B2B" w:rsidR="00C35476" w:rsidRPr="009D7733" w:rsidRDefault="0085408F" w:rsidP="00272A2E">
            <w:pPr>
              <w:pStyle w:val="PEPPOLTABELLER"/>
              <w:ind w:left="0"/>
            </w:pPr>
            <w:r>
              <w:t>June 23</w:t>
            </w:r>
            <w:r w:rsidRPr="0085408F">
              <w:rPr>
                <w:vertAlign w:val="superscript"/>
              </w:rPr>
              <w:t>rd</w:t>
            </w:r>
            <w:r>
              <w:t>, 2016</w:t>
            </w:r>
          </w:p>
        </w:tc>
        <w:tc>
          <w:tcPr>
            <w:tcW w:w="5462" w:type="dxa"/>
            <w:gridSpan w:val="2"/>
          </w:tcPr>
          <w:p w14:paraId="3A92B771" w14:textId="0C98EF1C" w:rsidR="00C35476" w:rsidRPr="009D7733" w:rsidRDefault="0085408F" w:rsidP="0034175E">
            <w:pPr>
              <w:pStyle w:val="PEPPOLTABELLER"/>
            </w:pPr>
            <w:r>
              <w:t>Added illustration on modification of MDN</w:t>
            </w:r>
          </w:p>
        </w:tc>
        <w:tc>
          <w:tcPr>
            <w:tcW w:w="1276" w:type="dxa"/>
          </w:tcPr>
          <w:p w14:paraId="29943129" w14:textId="6219BA85" w:rsidR="00C35476" w:rsidRPr="009D7733" w:rsidRDefault="0085408F" w:rsidP="00272A2E">
            <w:pPr>
              <w:pStyle w:val="PEPPOLTABELLER"/>
              <w:ind w:left="0"/>
            </w:pPr>
            <w:proofErr w:type="spellStart"/>
            <w:r>
              <w:t>S.O.Cook</w:t>
            </w:r>
            <w:proofErr w:type="spellEnd"/>
          </w:p>
        </w:tc>
      </w:tr>
      <w:tr w:rsidR="00C35476" w:rsidRPr="009D7733" w14:paraId="75A742E5" w14:textId="77777777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14:paraId="5BB5C639" w14:textId="77777777" w:rsidR="00C35476" w:rsidRPr="009D7733" w:rsidRDefault="00C35476" w:rsidP="0034175E">
            <w:pPr>
              <w:pStyle w:val="PEPPOLTABELLER"/>
            </w:pPr>
          </w:p>
        </w:tc>
        <w:tc>
          <w:tcPr>
            <w:tcW w:w="1824" w:type="dxa"/>
          </w:tcPr>
          <w:p w14:paraId="67825C5C" w14:textId="03AB577E" w:rsidR="00C35476" w:rsidRPr="009D7733" w:rsidRDefault="00867592" w:rsidP="00272A2E">
            <w:pPr>
              <w:pStyle w:val="PEPPOLTABELLER"/>
              <w:ind w:left="0"/>
            </w:pPr>
            <w:r>
              <w:t>June 23</w:t>
            </w:r>
            <w:r w:rsidRPr="00867592">
              <w:rPr>
                <w:vertAlign w:val="superscript"/>
              </w:rPr>
              <w:t>rd</w:t>
            </w:r>
            <w:r>
              <w:t>, 2016</w:t>
            </w:r>
          </w:p>
        </w:tc>
        <w:tc>
          <w:tcPr>
            <w:tcW w:w="5462" w:type="dxa"/>
            <w:gridSpan w:val="2"/>
          </w:tcPr>
          <w:p w14:paraId="0F1E2598" w14:textId="5F4834AB" w:rsidR="00C35476" w:rsidRPr="009D7733" w:rsidRDefault="00867592" w:rsidP="00272A2E">
            <w:pPr>
              <w:pStyle w:val="PEPPOLTABELLER"/>
              <w:ind w:left="0"/>
            </w:pPr>
            <w:r>
              <w:t>Review</w:t>
            </w:r>
          </w:p>
        </w:tc>
        <w:tc>
          <w:tcPr>
            <w:tcW w:w="1276" w:type="dxa"/>
          </w:tcPr>
          <w:p w14:paraId="1294E87A" w14:textId="7019714A" w:rsidR="00C35476" w:rsidRPr="009D7733" w:rsidRDefault="00867592" w:rsidP="00272A2E">
            <w:pPr>
              <w:pStyle w:val="PEPPOLTABELLER"/>
              <w:ind w:left="0"/>
            </w:pPr>
            <w:r>
              <w:t xml:space="preserve">P. </w:t>
            </w:r>
            <w:proofErr w:type="spellStart"/>
            <w:r>
              <w:t>Helger</w:t>
            </w:r>
            <w:proofErr w:type="spellEnd"/>
          </w:p>
        </w:tc>
      </w:tr>
      <w:tr w:rsidR="00AD6A39" w:rsidRPr="009D7733" w14:paraId="4EEE9D3F" w14:textId="77777777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14:paraId="3B962884" w14:textId="77777777" w:rsidR="00AD6A39" w:rsidRPr="009D7733" w:rsidRDefault="00AD6A39" w:rsidP="0034175E">
            <w:pPr>
              <w:pStyle w:val="PEPPOLTABELLER"/>
            </w:pPr>
          </w:p>
        </w:tc>
        <w:tc>
          <w:tcPr>
            <w:tcW w:w="1824" w:type="dxa"/>
          </w:tcPr>
          <w:p w14:paraId="0A9D212E" w14:textId="1745BB4F" w:rsidR="00AD6A39" w:rsidRDefault="00AD6A39" w:rsidP="00272A2E">
            <w:pPr>
              <w:pStyle w:val="PEPPOLTABELLER"/>
              <w:ind w:left="0"/>
            </w:pPr>
            <w:r>
              <w:t>October 12</w:t>
            </w:r>
            <w:r w:rsidRPr="003A4923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5462" w:type="dxa"/>
            <w:gridSpan w:val="2"/>
          </w:tcPr>
          <w:p w14:paraId="490E914A" w14:textId="692F91E6" w:rsidR="00AD6A39" w:rsidRDefault="00AD6A39" w:rsidP="00272A2E">
            <w:pPr>
              <w:pStyle w:val="PEPPOLTABELLER"/>
              <w:ind w:left="0"/>
            </w:pPr>
            <w:r>
              <w:t>Adding alternative approach.</w:t>
            </w:r>
          </w:p>
        </w:tc>
        <w:tc>
          <w:tcPr>
            <w:tcW w:w="1276" w:type="dxa"/>
          </w:tcPr>
          <w:p w14:paraId="4EE8AAD5" w14:textId="373C2465" w:rsidR="00AD6A39" w:rsidRDefault="00AD6A39" w:rsidP="00272A2E">
            <w:pPr>
              <w:pStyle w:val="PEPPOLTABELLER"/>
              <w:ind w:left="0"/>
            </w:pPr>
            <w:r>
              <w:t>E. K. Bergheim</w:t>
            </w:r>
          </w:p>
        </w:tc>
      </w:tr>
      <w:tr w:rsidR="00392C8E" w:rsidRPr="009D7733" w14:paraId="13EDBA23" w14:textId="77777777" w:rsidTr="00DB5065">
        <w:tblPrEx>
          <w:tblBorders>
            <w:insideH w:val="single" w:sz="6" w:space="0" w:color="auto"/>
          </w:tblBorders>
        </w:tblPrEx>
        <w:tc>
          <w:tcPr>
            <w:tcW w:w="964" w:type="dxa"/>
          </w:tcPr>
          <w:p w14:paraId="40FADF8E" w14:textId="77777777" w:rsidR="00392C8E" w:rsidRPr="009D7733" w:rsidRDefault="00392C8E" w:rsidP="0034175E">
            <w:pPr>
              <w:pStyle w:val="PEPPOLTABELLER"/>
            </w:pPr>
          </w:p>
        </w:tc>
        <w:tc>
          <w:tcPr>
            <w:tcW w:w="1824" w:type="dxa"/>
          </w:tcPr>
          <w:p w14:paraId="735F2492" w14:textId="0B133FBB" w:rsidR="00392C8E" w:rsidRDefault="00392C8E" w:rsidP="00272A2E">
            <w:pPr>
              <w:pStyle w:val="PEPPOLTABELLER"/>
              <w:ind w:left="0"/>
            </w:pPr>
            <w:r>
              <w:t>December 21</w:t>
            </w:r>
            <w:r w:rsidRPr="003A4923">
              <w:rPr>
                <w:vertAlign w:val="superscript"/>
              </w:rPr>
              <w:t>st</w:t>
            </w:r>
            <w:r>
              <w:t>, 2016</w:t>
            </w:r>
          </w:p>
        </w:tc>
        <w:tc>
          <w:tcPr>
            <w:tcW w:w="5462" w:type="dxa"/>
            <w:gridSpan w:val="2"/>
          </w:tcPr>
          <w:p w14:paraId="240AFB03" w14:textId="77777777" w:rsidR="00392C8E" w:rsidRDefault="00392C8E" w:rsidP="00272A2E">
            <w:pPr>
              <w:pStyle w:val="PEPPOLTABELLER"/>
              <w:ind w:left="0"/>
            </w:pPr>
          </w:p>
        </w:tc>
        <w:tc>
          <w:tcPr>
            <w:tcW w:w="1276" w:type="dxa"/>
          </w:tcPr>
          <w:p w14:paraId="544C733C" w14:textId="513B70B8" w:rsidR="00392C8E" w:rsidRDefault="00392C8E" w:rsidP="00272A2E">
            <w:pPr>
              <w:pStyle w:val="PEPPOLTABELLER"/>
              <w:ind w:left="0"/>
            </w:pPr>
            <w:r>
              <w:t>E. K. Bergheim</w:t>
            </w:r>
          </w:p>
        </w:tc>
      </w:tr>
    </w:tbl>
    <w:p w14:paraId="2CBE3C56" w14:textId="77777777" w:rsidR="00C35476" w:rsidRDefault="00C35476" w:rsidP="00095B4C">
      <w:pPr>
        <w:pStyle w:val="PEPPOLMARKER"/>
      </w:pPr>
      <w:bookmarkStart w:id="9" w:name="_Toc448240974"/>
      <w:r>
        <w:t>Approvals</w:t>
      </w:r>
      <w:bookmarkEnd w:id="9"/>
    </w:p>
    <w:p w14:paraId="191D6D83" w14:textId="77777777" w:rsidR="00C35476" w:rsidRDefault="00C35476" w:rsidP="0034175E">
      <w:pPr>
        <w:pStyle w:val="PEPPOLNormal"/>
      </w:pPr>
      <w:bookmarkStart w:id="10" w:name="_Toc448240975"/>
      <w:r>
        <w:t xml:space="preserve">This document </w:t>
      </w:r>
      <w:proofErr w:type="gramStart"/>
      <w:r>
        <w:t>is approved</w:t>
      </w:r>
      <w:proofErr w:type="gramEnd"/>
      <w:r>
        <w:t xml:space="preserve"> by:</w:t>
      </w:r>
      <w:bookmarkEnd w:id="10"/>
      <w:r>
        <w:t xml:space="preserve"> </w:t>
      </w:r>
    </w:p>
    <w:tbl>
      <w:tblPr>
        <w:tblW w:w="0" w:type="auto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35476" w:rsidRPr="002920B4" w14:paraId="21750665" w14:textId="77777777" w:rsidTr="00DB5065">
        <w:tc>
          <w:tcPr>
            <w:tcW w:w="2410" w:type="dxa"/>
          </w:tcPr>
          <w:p w14:paraId="18FEEBE5" w14:textId="2D85A3E3" w:rsidR="00C35476" w:rsidRPr="002920B4" w:rsidRDefault="00C35476" w:rsidP="0034175E">
            <w:pPr>
              <w:pStyle w:val="PEPPOLTABELLER"/>
            </w:pPr>
            <w:bookmarkStart w:id="11" w:name="_GoBack"/>
            <w:bookmarkEnd w:id="11"/>
          </w:p>
        </w:tc>
        <w:tc>
          <w:tcPr>
            <w:tcW w:w="7088" w:type="dxa"/>
          </w:tcPr>
          <w:p w14:paraId="06AC779A" w14:textId="6F766ECD" w:rsidR="00C35476" w:rsidRPr="002920B4" w:rsidRDefault="00C35476" w:rsidP="00B734C3">
            <w:pPr>
              <w:pStyle w:val="PEPPOLTABELLER"/>
            </w:pPr>
          </w:p>
        </w:tc>
      </w:tr>
      <w:tr w:rsidR="00C35476" w:rsidRPr="002920B4" w14:paraId="252B4275" w14:textId="77777777" w:rsidTr="00DB5065">
        <w:tc>
          <w:tcPr>
            <w:tcW w:w="2410" w:type="dxa"/>
          </w:tcPr>
          <w:p w14:paraId="2183140E" w14:textId="77777777" w:rsidR="00C35476" w:rsidRPr="002920B4" w:rsidRDefault="00C35476" w:rsidP="0034175E">
            <w:pPr>
              <w:pStyle w:val="PEPPOLTABELLER"/>
            </w:pPr>
          </w:p>
        </w:tc>
        <w:tc>
          <w:tcPr>
            <w:tcW w:w="7088" w:type="dxa"/>
          </w:tcPr>
          <w:p w14:paraId="3CA51BE0" w14:textId="77777777" w:rsidR="00C35476" w:rsidRPr="002920B4" w:rsidRDefault="00C35476" w:rsidP="0034175E">
            <w:pPr>
              <w:pStyle w:val="PEPPOLTABELLER"/>
            </w:pPr>
            <w:bookmarkStart w:id="12" w:name="_Toc448240978"/>
            <w:r w:rsidRPr="002920B4">
              <w:t>[Unit and role]</w:t>
            </w:r>
            <w:bookmarkEnd w:id="12"/>
          </w:p>
        </w:tc>
      </w:tr>
      <w:tr w:rsidR="00C35476" w:rsidRPr="002920B4" w14:paraId="4F9FCCFA" w14:textId="77777777" w:rsidTr="00DB5065">
        <w:tc>
          <w:tcPr>
            <w:tcW w:w="2410" w:type="dxa"/>
          </w:tcPr>
          <w:p w14:paraId="07A1536E" w14:textId="77777777" w:rsidR="00C35476" w:rsidRPr="002920B4" w:rsidRDefault="00C35476" w:rsidP="0034175E">
            <w:pPr>
              <w:pStyle w:val="PEPPOLTABELLER"/>
            </w:pPr>
          </w:p>
        </w:tc>
        <w:tc>
          <w:tcPr>
            <w:tcW w:w="7088" w:type="dxa"/>
          </w:tcPr>
          <w:p w14:paraId="530A5D08" w14:textId="77777777" w:rsidR="00C35476" w:rsidRPr="002920B4" w:rsidRDefault="00C35476" w:rsidP="0034175E">
            <w:pPr>
              <w:pStyle w:val="PEPPOLTABELLER"/>
            </w:pPr>
            <w:bookmarkStart w:id="13" w:name="_Toc448240979"/>
            <w:r w:rsidRPr="002920B4">
              <w:t>[Unit  and role]</w:t>
            </w:r>
            <w:bookmarkEnd w:id="13"/>
          </w:p>
        </w:tc>
      </w:tr>
    </w:tbl>
    <w:p w14:paraId="40878131" w14:textId="77777777" w:rsidR="00C35476" w:rsidRDefault="00C35476" w:rsidP="00095B4C">
      <w:pPr>
        <w:pStyle w:val="PEPPOLMARKER"/>
      </w:pPr>
      <w:bookmarkStart w:id="14" w:name="_Toc448240980"/>
      <w:r>
        <w:t>Owner, Editor and Contributors</w:t>
      </w:r>
      <w:bookmarkEnd w:id="14"/>
    </w:p>
    <w:p w14:paraId="2973FDA2" w14:textId="77777777" w:rsidR="00C35476" w:rsidRPr="009D7733" w:rsidRDefault="00C35476" w:rsidP="0034175E">
      <w:pPr>
        <w:pStyle w:val="PEPPOLNormal"/>
      </w:pPr>
      <w:bookmarkStart w:id="15" w:name="_Toc448240981"/>
      <w:r>
        <w:t xml:space="preserve">This document </w:t>
      </w:r>
      <w:proofErr w:type="gramStart"/>
      <w:r>
        <w:t>is provided</w:t>
      </w:r>
      <w:proofErr w:type="gramEnd"/>
      <w:r>
        <w:t xml:space="preserve"> by:</w:t>
      </w:r>
      <w:bookmarkEnd w:id="15"/>
      <w:r>
        <w:t xml:space="preserve"> </w:t>
      </w:r>
    </w:p>
    <w:tbl>
      <w:tblPr>
        <w:tblW w:w="0" w:type="auto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35476" w:rsidRPr="002920B4" w14:paraId="256286C7" w14:textId="77777777" w:rsidTr="00DB5065">
        <w:tc>
          <w:tcPr>
            <w:tcW w:w="2410" w:type="dxa"/>
          </w:tcPr>
          <w:p w14:paraId="61D5F89B" w14:textId="77777777" w:rsidR="00C35476" w:rsidRPr="002920B4" w:rsidRDefault="00C35476" w:rsidP="0034175E">
            <w:pPr>
              <w:pStyle w:val="PEPPOLTABELLER"/>
            </w:pPr>
            <w:r w:rsidRPr="002920B4">
              <w:fldChar w:fldCharType="begin"/>
            </w:r>
            <w:r w:rsidRPr="002920B4">
              <w:instrText xml:space="preserve"> REF TName  \* MERGEFORMAT </w:instrText>
            </w:r>
            <w:r w:rsidRPr="002920B4">
              <w:fldChar w:fldCharType="separate"/>
            </w:r>
            <w:bookmarkStart w:id="16" w:name="_Toc448240982"/>
            <w:r w:rsidR="00C70B9A">
              <w:rPr>
                <w:b/>
                <w:bCs/>
                <w:lang w:val="nb-NO"/>
              </w:rPr>
              <w:t>Feil! Fant ikke referansekilden.</w:t>
            </w:r>
            <w:bookmarkEnd w:id="16"/>
            <w:r w:rsidRPr="002920B4">
              <w:fldChar w:fldCharType="end"/>
            </w:r>
          </w:p>
        </w:tc>
        <w:tc>
          <w:tcPr>
            <w:tcW w:w="7088" w:type="dxa"/>
          </w:tcPr>
          <w:p w14:paraId="68AF3A75" w14:textId="77777777" w:rsidR="00C35476" w:rsidRPr="002920B4" w:rsidRDefault="00C35476" w:rsidP="0034175E">
            <w:pPr>
              <w:pStyle w:val="PEPPOLTABELLER"/>
            </w:pPr>
            <w:r w:rsidRPr="002920B4">
              <w:fldChar w:fldCharType="begin"/>
            </w:r>
            <w:r w:rsidRPr="002920B4">
              <w:instrText xml:space="preserve"> REF TTitle  \* MERGEFORMAT </w:instrText>
            </w:r>
            <w:r w:rsidRPr="002920B4">
              <w:fldChar w:fldCharType="separate"/>
            </w:r>
            <w:bookmarkStart w:id="17" w:name="_Toc448240983"/>
            <w:r w:rsidR="00C70B9A">
              <w:rPr>
                <w:b/>
                <w:bCs/>
                <w:lang w:val="nb-NO"/>
              </w:rPr>
              <w:t>Feil! Fant ikke referansekilden.</w:t>
            </w:r>
            <w:bookmarkEnd w:id="17"/>
            <w:r w:rsidRPr="002920B4">
              <w:fldChar w:fldCharType="end"/>
            </w:r>
          </w:p>
        </w:tc>
      </w:tr>
      <w:tr w:rsidR="00C35476" w:rsidRPr="00081A33" w14:paraId="2BDB5333" w14:textId="77777777" w:rsidTr="00DB5065">
        <w:tc>
          <w:tcPr>
            <w:tcW w:w="2410" w:type="dxa"/>
          </w:tcPr>
          <w:p w14:paraId="4FD945D3" w14:textId="77777777" w:rsidR="00C35476" w:rsidRPr="00081A33" w:rsidRDefault="00C35476" w:rsidP="0034175E">
            <w:pPr>
              <w:pStyle w:val="PEPPOLTABELLER"/>
            </w:pPr>
            <w:bookmarkStart w:id="18" w:name="_Toc448240984"/>
            <w:r>
              <w:t>Unit</w:t>
            </w:r>
            <w:bookmarkEnd w:id="18"/>
          </w:p>
        </w:tc>
        <w:tc>
          <w:tcPr>
            <w:tcW w:w="7088" w:type="dxa"/>
          </w:tcPr>
          <w:p w14:paraId="5D589F12" w14:textId="77777777" w:rsidR="00C35476" w:rsidRPr="00081A33" w:rsidRDefault="00C35476" w:rsidP="0034175E">
            <w:pPr>
              <w:pStyle w:val="PEPPOLTABELLER"/>
            </w:pPr>
            <w:bookmarkStart w:id="19" w:name="_Toc448240985"/>
            <w:r>
              <w:t>[Community ore organizational reference]</w:t>
            </w:r>
            <w:bookmarkEnd w:id="19"/>
          </w:p>
        </w:tc>
      </w:tr>
      <w:tr w:rsidR="00C35476" w:rsidRPr="00081A33" w14:paraId="28A08AD6" w14:textId="77777777" w:rsidTr="00DB5065">
        <w:tc>
          <w:tcPr>
            <w:tcW w:w="2410" w:type="dxa"/>
          </w:tcPr>
          <w:p w14:paraId="1813A751" w14:textId="77777777" w:rsidR="00C35476" w:rsidRDefault="00C35476" w:rsidP="0034175E">
            <w:pPr>
              <w:pStyle w:val="PEPPOLTABELLER"/>
            </w:pPr>
            <w:bookmarkStart w:id="20" w:name="_Toc448240986"/>
            <w:r>
              <w:t>Owner</w:t>
            </w:r>
            <w:bookmarkEnd w:id="20"/>
          </w:p>
        </w:tc>
        <w:tc>
          <w:tcPr>
            <w:tcW w:w="7088" w:type="dxa"/>
          </w:tcPr>
          <w:p w14:paraId="45069575" w14:textId="77777777" w:rsidR="00C35476" w:rsidRDefault="002276C8" w:rsidP="0034175E">
            <w:pPr>
              <w:pStyle w:val="PEPPOLTABELLER"/>
            </w:pPr>
            <w:r>
              <w:t>Steinar Overbeck Cook, Difi, Deliverable Owner</w:t>
            </w:r>
          </w:p>
        </w:tc>
      </w:tr>
      <w:tr w:rsidR="00C35476" w:rsidRPr="00081A33" w14:paraId="3343E099" w14:textId="77777777" w:rsidTr="00DB5065">
        <w:tc>
          <w:tcPr>
            <w:tcW w:w="2410" w:type="dxa"/>
          </w:tcPr>
          <w:p w14:paraId="31FB0BB6" w14:textId="77777777" w:rsidR="00C35476" w:rsidRDefault="00C35476" w:rsidP="0034175E">
            <w:pPr>
              <w:pStyle w:val="PEPPOLTABELLER"/>
            </w:pPr>
            <w:bookmarkStart w:id="21" w:name="_Toc448240988"/>
            <w:r>
              <w:t>Editor</w:t>
            </w:r>
            <w:bookmarkEnd w:id="21"/>
            <w:r w:rsidR="002276C8">
              <w:t>(s)</w:t>
            </w:r>
          </w:p>
        </w:tc>
        <w:tc>
          <w:tcPr>
            <w:tcW w:w="7088" w:type="dxa"/>
          </w:tcPr>
          <w:p w14:paraId="06FD020A" w14:textId="77777777" w:rsidR="00C35476" w:rsidRDefault="002276C8" w:rsidP="0034175E">
            <w:pPr>
              <w:pStyle w:val="PEPPOLTABELLER"/>
            </w:pPr>
            <w:r>
              <w:t xml:space="preserve">Christian </w:t>
            </w:r>
            <w:proofErr w:type="spellStart"/>
            <w:r>
              <w:t>Vindinge</w:t>
            </w:r>
            <w:proofErr w:type="spellEnd"/>
            <w:r>
              <w:t xml:space="preserve"> Rasmussen, </w:t>
            </w:r>
            <w:proofErr w:type="spellStart"/>
            <w:r>
              <w:t>Difi</w:t>
            </w:r>
            <w:proofErr w:type="spellEnd"/>
            <w:r>
              <w:t>, Project Manager</w:t>
            </w:r>
          </w:p>
        </w:tc>
      </w:tr>
      <w:tr w:rsidR="00C35476" w:rsidRPr="00081A33" w14:paraId="4DC2A7EF" w14:textId="77777777" w:rsidTr="00DB5065">
        <w:tc>
          <w:tcPr>
            <w:tcW w:w="2410" w:type="dxa"/>
          </w:tcPr>
          <w:p w14:paraId="4E0C1271" w14:textId="77777777" w:rsidR="00C35476" w:rsidRDefault="00C35476" w:rsidP="0034175E">
            <w:pPr>
              <w:pStyle w:val="PEPPOLTABELLER"/>
            </w:pPr>
            <w:bookmarkStart w:id="22" w:name="_Toc448240990"/>
            <w:r>
              <w:t>Contributors</w:t>
            </w:r>
            <w:bookmarkEnd w:id="22"/>
          </w:p>
        </w:tc>
        <w:tc>
          <w:tcPr>
            <w:tcW w:w="7088" w:type="dxa"/>
          </w:tcPr>
          <w:p w14:paraId="402C501E" w14:textId="77777777" w:rsidR="00C35476" w:rsidRDefault="00C35476" w:rsidP="0034175E">
            <w:pPr>
              <w:pStyle w:val="PEPPOLTABELLER"/>
            </w:pPr>
            <w:bookmarkStart w:id="23" w:name="_Toc448240991"/>
            <w:r>
              <w:t>[Name and role]</w:t>
            </w:r>
            <w:bookmarkEnd w:id="23"/>
          </w:p>
          <w:p w14:paraId="7F0A6B48" w14:textId="77777777" w:rsidR="00C35476" w:rsidRDefault="00C35476" w:rsidP="0034175E">
            <w:pPr>
              <w:pStyle w:val="PEPPOLTABELLER"/>
            </w:pPr>
            <w:bookmarkStart w:id="24" w:name="_Toc448240992"/>
            <w:r>
              <w:t>[Name and role]</w:t>
            </w:r>
            <w:bookmarkEnd w:id="24"/>
          </w:p>
        </w:tc>
      </w:tr>
    </w:tbl>
    <w:p w14:paraId="3FB1628D" w14:textId="77777777" w:rsidR="00C35476" w:rsidRPr="00095B4C" w:rsidRDefault="00C35476" w:rsidP="00095B4C">
      <w:pPr>
        <w:pStyle w:val="PEPPOLMARKER"/>
      </w:pPr>
      <w:bookmarkStart w:id="25" w:name="_Toc448240993"/>
      <w:r w:rsidRPr="00095B4C">
        <w:t>Distribution</w:t>
      </w:r>
      <w:bookmarkEnd w:id="25"/>
    </w:p>
    <w:p w14:paraId="131E9630" w14:textId="77777777" w:rsidR="00C35476" w:rsidRDefault="00C35476" w:rsidP="0034175E">
      <w:pPr>
        <w:pStyle w:val="PEPPOLNormal"/>
      </w:pPr>
      <w:bookmarkStart w:id="26" w:name="_Toc448240994"/>
      <w:r>
        <w:t xml:space="preserve">This document </w:t>
      </w:r>
      <w:proofErr w:type="gramStart"/>
      <w:r>
        <w:t>has been distributed</w:t>
      </w:r>
      <w:proofErr w:type="gramEnd"/>
      <w:r>
        <w:t xml:space="preserve"> to</w:t>
      </w:r>
      <w:bookmarkEnd w:id="26"/>
    </w:p>
    <w:tbl>
      <w:tblPr>
        <w:tblW w:w="0" w:type="auto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35476" w:rsidRPr="002920B4" w14:paraId="67E357F4" w14:textId="77777777" w:rsidTr="00DB5065">
        <w:tc>
          <w:tcPr>
            <w:tcW w:w="2410" w:type="dxa"/>
          </w:tcPr>
          <w:p w14:paraId="1774768C" w14:textId="77777777" w:rsidR="00C35476" w:rsidRPr="002920B4" w:rsidRDefault="00C35476" w:rsidP="00DB5065">
            <w:pPr>
              <w:pStyle w:val="PEPPOLTOP"/>
              <w:rPr>
                <w:b/>
                <w:i/>
              </w:rPr>
            </w:pPr>
            <w:r w:rsidRPr="002920B4">
              <w:rPr>
                <w:b/>
                <w:i/>
              </w:rPr>
              <w:fldChar w:fldCharType="begin"/>
            </w:r>
            <w:r w:rsidRPr="002920B4">
              <w:rPr>
                <w:b/>
                <w:i/>
              </w:rPr>
              <w:instrText xml:space="preserve"> REF TName  \* MERGEFORMAT </w:instrText>
            </w:r>
            <w:r w:rsidRPr="002920B4">
              <w:rPr>
                <w:b/>
                <w:i/>
              </w:rPr>
              <w:fldChar w:fldCharType="separate"/>
            </w:r>
            <w:bookmarkStart w:id="27" w:name="_Toc448240995"/>
            <w:r w:rsidR="00C70B9A">
              <w:rPr>
                <w:bCs/>
                <w:i/>
              </w:rPr>
              <w:t>Feil! Fant ikke referansekilden.</w:t>
            </w:r>
            <w:bookmarkEnd w:id="27"/>
            <w:r w:rsidRPr="002920B4">
              <w:rPr>
                <w:b/>
                <w:i/>
              </w:rPr>
              <w:fldChar w:fldCharType="end"/>
            </w:r>
            <w:r w:rsidR="00E958D5">
              <w:rPr>
                <w:b/>
                <w:i/>
              </w:rPr>
              <w:t xml:space="preserve"> / usergroup</w:t>
            </w:r>
          </w:p>
        </w:tc>
        <w:tc>
          <w:tcPr>
            <w:tcW w:w="7088" w:type="dxa"/>
          </w:tcPr>
          <w:p w14:paraId="69F49ACB" w14:textId="77777777" w:rsidR="00C35476" w:rsidRPr="002920B4" w:rsidRDefault="00C35476" w:rsidP="00DB5065">
            <w:pPr>
              <w:pStyle w:val="PEPPOLTOP"/>
              <w:rPr>
                <w:b/>
                <w:i/>
              </w:rPr>
            </w:pPr>
            <w:r w:rsidRPr="002920B4">
              <w:rPr>
                <w:b/>
                <w:i/>
              </w:rPr>
              <w:fldChar w:fldCharType="begin"/>
            </w:r>
            <w:r w:rsidRPr="002920B4">
              <w:rPr>
                <w:b/>
                <w:i/>
              </w:rPr>
              <w:instrText xml:space="preserve"> REF TTitle  \* MERGEFORMAT </w:instrText>
            </w:r>
            <w:r w:rsidRPr="002920B4">
              <w:rPr>
                <w:b/>
                <w:i/>
              </w:rPr>
              <w:fldChar w:fldCharType="separate"/>
            </w:r>
            <w:bookmarkStart w:id="28" w:name="_Toc448240996"/>
            <w:r w:rsidR="00C70B9A">
              <w:rPr>
                <w:bCs/>
                <w:i/>
              </w:rPr>
              <w:t>Feil! Fant ikke referansekilden.</w:t>
            </w:r>
            <w:bookmarkEnd w:id="28"/>
            <w:r w:rsidRPr="002920B4">
              <w:rPr>
                <w:b/>
                <w:i/>
              </w:rPr>
              <w:fldChar w:fldCharType="end"/>
            </w:r>
          </w:p>
        </w:tc>
      </w:tr>
      <w:tr w:rsidR="00C35476" w:rsidRPr="00081A33" w14:paraId="4A73D920" w14:textId="77777777" w:rsidTr="00DB5065">
        <w:tc>
          <w:tcPr>
            <w:tcW w:w="2410" w:type="dxa"/>
          </w:tcPr>
          <w:p w14:paraId="17B20F4C" w14:textId="77777777" w:rsidR="00C35476" w:rsidRDefault="00C35476" w:rsidP="0034175E">
            <w:pPr>
              <w:pStyle w:val="PEPPOLNormal"/>
            </w:pPr>
          </w:p>
        </w:tc>
        <w:tc>
          <w:tcPr>
            <w:tcW w:w="7088" w:type="dxa"/>
          </w:tcPr>
          <w:p w14:paraId="2501A06A" w14:textId="77777777" w:rsidR="00C35476" w:rsidRDefault="00C35476" w:rsidP="0034175E">
            <w:pPr>
              <w:pStyle w:val="PEPPOLNormal"/>
            </w:pPr>
            <w:bookmarkStart w:id="29" w:name="_Toc448240997"/>
            <w:r>
              <w:t>[Unit and role]</w:t>
            </w:r>
            <w:bookmarkEnd w:id="29"/>
          </w:p>
        </w:tc>
      </w:tr>
      <w:tr w:rsidR="00C35476" w:rsidRPr="00081A33" w14:paraId="0A1F98A0" w14:textId="77777777" w:rsidTr="00DB5065">
        <w:tc>
          <w:tcPr>
            <w:tcW w:w="2410" w:type="dxa"/>
          </w:tcPr>
          <w:p w14:paraId="595D7990" w14:textId="77777777" w:rsidR="00C35476" w:rsidRDefault="00C35476" w:rsidP="0034175E">
            <w:pPr>
              <w:pStyle w:val="PEPPOLNormal"/>
            </w:pPr>
          </w:p>
        </w:tc>
        <w:tc>
          <w:tcPr>
            <w:tcW w:w="7088" w:type="dxa"/>
          </w:tcPr>
          <w:p w14:paraId="720D7A74" w14:textId="77777777" w:rsidR="00C35476" w:rsidRDefault="00C35476" w:rsidP="0034175E">
            <w:pPr>
              <w:pStyle w:val="PEPPOLNormal"/>
            </w:pPr>
            <w:bookmarkStart w:id="30" w:name="_Toc448240998"/>
            <w:r>
              <w:t>[Unit  and role]</w:t>
            </w:r>
            <w:bookmarkEnd w:id="30"/>
          </w:p>
        </w:tc>
      </w:tr>
    </w:tbl>
    <w:p w14:paraId="792ED590" w14:textId="77777777" w:rsidR="00C35476" w:rsidRDefault="00C35476" w:rsidP="00C35476">
      <w:pPr>
        <w:keepNext w:val="0"/>
        <w:keepLines w:val="0"/>
        <w:ind w:right="0"/>
        <w:outlineLvl w:val="9"/>
        <w:rPr>
          <w:rFonts w:ascii="Cambria" w:hAnsi="Cambria" w:cs="Cambria"/>
          <w:b/>
          <w:bCs/>
          <w:color w:val="253356" w:themeColor="accent1" w:themeShade="80"/>
          <w:sz w:val="32"/>
          <w:szCs w:val="28"/>
          <w:lang w:val="en-GB"/>
        </w:rPr>
      </w:pPr>
      <w:r>
        <w:br w:type="page"/>
      </w:r>
    </w:p>
    <w:p w14:paraId="14C3F24C" w14:textId="77777777" w:rsidR="00C35476" w:rsidRDefault="00C35476" w:rsidP="00095B4C">
      <w:pPr>
        <w:pStyle w:val="PEPPOLMARKER"/>
      </w:pPr>
      <w:r>
        <w:lastRenderedPageBreak/>
        <w:t>Table of Content</w:t>
      </w:r>
    </w:p>
    <w:p w14:paraId="4FF62810" w14:textId="77777777" w:rsidR="003C6D76" w:rsidRDefault="000731EA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TOC \o "1-3" \h \z \u </w:instrText>
      </w:r>
      <w:r>
        <w:rPr>
          <w:lang w:val="nb-NO"/>
        </w:rPr>
        <w:fldChar w:fldCharType="separate"/>
      </w:r>
      <w:hyperlink w:anchor="_Toc454448725" w:history="1">
        <w:r w:rsidR="003C6D76" w:rsidRPr="0069715A">
          <w:rPr>
            <w:rStyle w:val="Hyperlink"/>
            <w:noProof/>
          </w:rPr>
          <w:t>1.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Pre-analyse report: identification of the need for extensions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_Toc454448725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3</w:t>
        </w:r>
        <w:r w:rsidR="003C6D76">
          <w:rPr>
            <w:noProof/>
            <w:webHidden/>
          </w:rPr>
          <w:fldChar w:fldCharType="end"/>
        </w:r>
      </w:hyperlink>
    </w:p>
    <w:p w14:paraId="316BD2BE" w14:textId="77777777" w:rsidR="003C6D76" w:rsidRDefault="001952AE">
      <w:pPr>
        <w:pStyle w:val="TOC2"/>
        <w:rPr>
          <w:rFonts w:asciiTheme="minorHAnsi" w:eastAsiaTheme="minorEastAsia" w:hAnsiTheme="minorHAnsi" w:cstheme="minorBidi"/>
          <w:sz w:val="24"/>
          <w:szCs w:val="24"/>
          <w:lang w:val="nb-NO" w:eastAsia="nb-NO"/>
        </w:rPr>
      </w:pPr>
      <w:hyperlink w:anchor="_Toc454448726" w:history="1">
        <w:r w:rsidR="003C6D76" w:rsidRPr="0069715A">
          <w:rPr>
            <w:rStyle w:val="Hyperlink"/>
          </w:rPr>
          <w:t>1.1.</w:t>
        </w:r>
        <w:r w:rsidR="003C6D76">
          <w:rPr>
            <w:rFonts w:asciiTheme="minorHAnsi" w:eastAsiaTheme="minorEastAsia" w:hAnsiTheme="minorHAnsi" w:cstheme="minorBidi"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</w:rPr>
          <w:t>The current NRR (AS2 MDN)</w:t>
        </w:r>
        <w:r w:rsidR="003C6D76">
          <w:rPr>
            <w:webHidden/>
          </w:rPr>
          <w:tab/>
        </w:r>
        <w:r w:rsidR="003C6D76">
          <w:rPr>
            <w:webHidden/>
          </w:rPr>
          <w:fldChar w:fldCharType="begin"/>
        </w:r>
        <w:r w:rsidR="003C6D76">
          <w:rPr>
            <w:webHidden/>
          </w:rPr>
          <w:instrText xml:space="preserve"> PAGEREF _Toc454448726 \h </w:instrText>
        </w:r>
        <w:r w:rsidR="003C6D76">
          <w:rPr>
            <w:webHidden/>
          </w:rPr>
        </w:r>
        <w:r w:rsidR="003C6D76">
          <w:rPr>
            <w:webHidden/>
          </w:rPr>
          <w:fldChar w:fldCharType="separate"/>
        </w:r>
        <w:r w:rsidR="003C6D76">
          <w:rPr>
            <w:webHidden/>
          </w:rPr>
          <w:t>4</w:t>
        </w:r>
        <w:r w:rsidR="003C6D76">
          <w:rPr>
            <w:webHidden/>
          </w:rPr>
          <w:fldChar w:fldCharType="end"/>
        </w:r>
      </w:hyperlink>
    </w:p>
    <w:p w14:paraId="10809034" w14:textId="77777777" w:rsidR="003C6D76" w:rsidRDefault="001952A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hyperlink w:anchor="_Toc454448728" w:history="1">
        <w:r w:rsidR="003C6D76" w:rsidRPr="0069715A">
          <w:rPr>
            <w:rStyle w:val="Hyperlink"/>
            <w:noProof/>
          </w:rPr>
          <w:t>2.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Requirement specification to all of the identified new Capability Extensions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_Toc454448728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5</w:t>
        </w:r>
        <w:r w:rsidR="003C6D76">
          <w:rPr>
            <w:noProof/>
            <w:webHidden/>
          </w:rPr>
          <w:fldChar w:fldCharType="end"/>
        </w:r>
      </w:hyperlink>
    </w:p>
    <w:p w14:paraId="2F28D1D0" w14:textId="77777777" w:rsidR="003C6D76" w:rsidRDefault="001952A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hyperlink w:anchor="_Toc454448730" w:history="1">
        <w:r w:rsidR="003C6D76" w:rsidRPr="0069715A">
          <w:rPr>
            <w:rStyle w:val="Hyperlink"/>
            <w:noProof/>
          </w:rPr>
          <w:t>3.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Design Documentation for all of the identified new Capability Extensions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_Toc454448730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5</w:t>
        </w:r>
        <w:r w:rsidR="003C6D76">
          <w:rPr>
            <w:noProof/>
            <w:webHidden/>
          </w:rPr>
          <w:fldChar w:fldCharType="end"/>
        </w:r>
      </w:hyperlink>
    </w:p>
    <w:p w14:paraId="4C05F7DF" w14:textId="77777777" w:rsidR="003C6D76" w:rsidRDefault="001952A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hyperlink w:anchor="_Toc454448731" w:history="1">
        <w:r w:rsidR="003C6D76" w:rsidRPr="0069715A">
          <w:rPr>
            <w:rStyle w:val="Hyperlink"/>
            <w:noProof/>
          </w:rPr>
          <w:t>2.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The message digest of the original payload, which was produced in C1, must be included in the machine-readable part of the AS2 MDN.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_Toc454448731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5</w:t>
        </w:r>
        <w:r w:rsidR="003C6D76">
          <w:rPr>
            <w:noProof/>
            <w:webHidden/>
          </w:rPr>
          <w:fldChar w:fldCharType="end"/>
        </w:r>
      </w:hyperlink>
    </w:p>
    <w:p w14:paraId="1C0301A7" w14:textId="77777777" w:rsidR="003C6D76" w:rsidRDefault="001952AE">
      <w:pPr>
        <w:pStyle w:val="TOC2"/>
        <w:rPr>
          <w:rFonts w:asciiTheme="minorHAnsi" w:eastAsiaTheme="minorEastAsia" w:hAnsiTheme="minorHAnsi" w:cstheme="minorBidi"/>
          <w:sz w:val="24"/>
          <w:szCs w:val="24"/>
          <w:lang w:val="nb-NO" w:eastAsia="nb-NO"/>
        </w:rPr>
      </w:pPr>
      <w:hyperlink w:anchor="_Toc454448732" w:history="1">
        <w:r w:rsidR="003C6D76" w:rsidRPr="0069715A">
          <w:rPr>
            <w:rStyle w:val="Hyperlink"/>
          </w:rPr>
          <w:t>3.1.</w:t>
        </w:r>
        <w:r w:rsidR="003C6D76">
          <w:rPr>
            <w:rFonts w:asciiTheme="minorHAnsi" w:eastAsiaTheme="minorEastAsia" w:hAnsiTheme="minorHAnsi" w:cstheme="minorBidi"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</w:rPr>
          <w:t>Modified AS2 MDN (RFC3798)</w:t>
        </w:r>
        <w:r w:rsidR="003C6D76">
          <w:rPr>
            <w:webHidden/>
          </w:rPr>
          <w:tab/>
        </w:r>
        <w:r w:rsidR="003C6D76">
          <w:rPr>
            <w:webHidden/>
          </w:rPr>
          <w:fldChar w:fldCharType="begin"/>
        </w:r>
        <w:r w:rsidR="003C6D76">
          <w:rPr>
            <w:webHidden/>
          </w:rPr>
          <w:instrText xml:space="preserve"> PAGEREF _Toc454448732 \h </w:instrText>
        </w:r>
        <w:r w:rsidR="003C6D76">
          <w:rPr>
            <w:webHidden/>
          </w:rPr>
        </w:r>
        <w:r w:rsidR="003C6D76">
          <w:rPr>
            <w:webHidden/>
          </w:rPr>
          <w:fldChar w:fldCharType="separate"/>
        </w:r>
        <w:r w:rsidR="003C6D76">
          <w:rPr>
            <w:webHidden/>
          </w:rPr>
          <w:t>6</w:t>
        </w:r>
        <w:r w:rsidR="003C6D76">
          <w:rPr>
            <w:webHidden/>
          </w:rPr>
          <w:fldChar w:fldCharType="end"/>
        </w:r>
      </w:hyperlink>
    </w:p>
    <w:p w14:paraId="3A631CC4" w14:textId="77777777" w:rsidR="003C6D76" w:rsidRDefault="001952A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hyperlink w:anchor="_Toc454448733" w:history="1">
        <w:r w:rsidR="003C6D76" w:rsidRPr="0069715A">
          <w:rPr>
            <w:rStyle w:val="Hyperlink"/>
            <w:noProof/>
          </w:rPr>
          <w:t>4.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Revised eDelivery specifications/profile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_Toc454448733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6</w:t>
        </w:r>
        <w:r w:rsidR="003C6D76">
          <w:rPr>
            <w:noProof/>
            <w:webHidden/>
          </w:rPr>
          <w:fldChar w:fldCharType="end"/>
        </w:r>
      </w:hyperlink>
    </w:p>
    <w:p w14:paraId="07534E6B" w14:textId="77777777" w:rsidR="003C6D76" w:rsidRDefault="001952A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hyperlink w:anchor="_Toc454448734" w:history="1">
        <w:r w:rsidR="003C6D76" w:rsidRPr="0069715A">
          <w:rPr>
            <w:rStyle w:val="Hyperlink"/>
            <w:noProof/>
          </w:rPr>
          <w:t>5.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Implementation plan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_Toc454448734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6</w:t>
        </w:r>
        <w:r w:rsidR="003C6D76">
          <w:rPr>
            <w:noProof/>
            <w:webHidden/>
          </w:rPr>
          <w:fldChar w:fldCharType="end"/>
        </w:r>
      </w:hyperlink>
    </w:p>
    <w:p w14:paraId="21F40FBA" w14:textId="77777777" w:rsidR="003C6D76" w:rsidRDefault="001952AE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val="nb-NO" w:eastAsia="nb-NO"/>
        </w:rPr>
      </w:pPr>
      <w:hyperlink w:anchor="_Toc454448735" w:history="1">
        <w:r w:rsidR="003C6D76" w:rsidRPr="0069715A">
          <w:rPr>
            <w:rStyle w:val="Hyperlink"/>
            <w:noProof/>
          </w:rPr>
          <w:t>6.</w:t>
        </w:r>
        <w:r w:rsidR="003C6D76">
          <w:rPr>
            <w:rFonts w:asciiTheme="minorHAnsi" w:eastAsiaTheme="minorEastAsia" w:hAnsiTheme="minorHAnsi" w:cstheme="minorBidi"/>
            <w:noProof/>
            <w:sz w:val="24"/>
            <w:szCs w:val="24"/>
            <w:lang w:val="nb-NO" w:eastAsia="nb-NO"/>
          </w:rPr>
          <w:tab/>
        </w:r>
        <w:r w:rsidR="003C6D76" w:rsidRPr="0069715A">
          <w:rPr>
            <w:rStyle w:val="Hyperlink"/>
            <w:noProof/>
          </w:rPr>
          <w:t>Relevant request for change to CEF eDelivery</w:t>
        </w:r>
        <w:r w:rsidR="003C6D76">
          <w:rPr>
            <w:noProof/>
            <w:webHidden/>
          </w:rPr>
          <w:tab/>
        </w:r>
        <w:r w:rsidR="003C6D76">
          <w:rPr>
            <w:noProof/>
            <w:webHidden/>
          </w:rPr>
          <w:fldChar w:fldCharType="begin"/>
        </w:r>
        <w:r w:rsidR="003C6D76">
          <w:rPr>
            <w:noProof/>
            <w:webHidden/>
          </w:rPr>
          <w:instrText xml:space="preserve"> PAGEREF _Toc454448735 \h </w:instrText>
        </w:r>
        <w:r w:rsidR="003C6D76">
          <w:rPr>
            <w:noProof/>
            <w:webHidden/>
          </w:rPr>
        </w:r>
        <w:r w:rsidR="003C6D76">
          <w:rPr>
            <w:noProof/>
            <w:webHidden/>
          </w:rPr>
          <w:fldChar w:fldCharType="separate"/>
        </w:r>
        <w:r w:rsidR="003C6D76">
          <w:rPr>
            <w:noProof/>
            <w:webHidden/>
          </w:rPr>
          <w:t>6</w:t>
        </w:r>
        <w:r w:rsidR="003C6D76">
          <w:rPr>
            <w:noProof/>
            <w:webHidden/>
          </w:rPr>
          <w:fldChar w:fldCharType="end"/>
        </w:r>
      </w:hyperlink>
    </w:p>
    <w:p w14:paraId="39571D8F" w14:textId="77777777" w:rsidR="00CC654F" w:rsidRDefault="000731EA" w:rsidP="00276322">
      <w:pPr>
        <w:rPr>
          <w:lang w:val="nb-NO"/>
        </w:rPr>
      </w:pPr>
      <w:r>
        <w:rPr>
          <w:lang w:val="nb-NO"/>
        </w:rPr>
        <w:fldChar w:fldCharType="end"/>
      </w:r>
    </w:p>
    <w:p w14:paraId="5E15C09A" w14:textId="77777777" w:rsidR="00C35476" w:rsidRDefault="00C35476">
      <w:pPr>
        <w:keepNext w:val="0"/>
        <w:keepLines w:val="0"/>
        <w:ind w:right="0"/>
        <w:outlineLvl w:val="9"/>
        <w:rPr>
          <w:rFonts w:ascii="Cambria" w:hAnsi="Cambria" w:cs="Cambria"/>
          <w:b/>
          <w:bCs/>
          <w:color w:val="253356" w:themeColor="accent1" w:themeShade="80"/>
          <w:sz w:val="32"/>
          <w:szCs w:val="28"/>
          <w:lang w:val="en-GB"/>
        </w:rPr>
      </w:pPr>
      <w:r>
        <w:br w:type="page"/>
      </w:r>
    </w:p>
    <w:p w14:paraId="038AC2FE" w14:textId="77777777" w:rsidR="00897ACB" w:rsidRDefault="00897ACB" w:rsidP="00897ACB">
      <w:pPr>
        <w:pStyle w:val="PEPPOLHeadding1"/>
      </w:pPr>
      <w:bookmarkStart w:id="31" w:name="_Toc454448725"/>
      <w:r>
        <w:lastRenderedPageBreak/>
        <w:t>Pre-analyse report: identification of the need for extensions</w:t>
      </w:r>
      <w:bookmarkEnd w:id="31"/>
    </w:p>
    <w:p w14:paraId="7D674517" w14:textId="77777777" w:rsidR="00897ACB" w:rsidRDefault="00897ACB" w:rsidP="00897ACB">
      <w:pPr>
        <w:pStyle w:val="PEPPOLNormal"/>
      </w:pPr>
      <w:r>
        <w:t xml:space="preserve">Directive 2014/24/EU, Annex IV contains requirements relating to tools and devices for the electronic receipt of tenders, requests for participation as well as plans and projects in design contests. </w:t>
      </w:r>
    </w:p>
    <w:p w14:paraId="7DD273BF" w14:textId="77777777" w:rsidR="00897ACB" w:rsidRDefault="00897ACB" w:rsidP="00897ACB">
      <w:pPr>
        <w:pStyle w:val="PEPPOLNormal"/>
      </w:pPr>
      <w:r>
        <w:t>Item (a) of the said annex states “</w:t>
      </w:r>
      <w:r w:rsidRPr="00897ACB">
        <w:rPr>
          <w:i/>
        </w:rPr>
        <w:t>the exact time and date of the receipt of tenders, requests to participate and the submission of plans and projects can be determined precisely;</w:t>
      </w:r>
      <w:r w:rsidRPr="000F5A2C">
        <w:t xml:space="preserve"> </w:t>
      </w:r>
      <w:r>
        <w:t>“.</w:t>
      </w:r>
    </w:p>
    <w:p w14:paraId="0DAF51EA" w14:textId="77777777" w:rsidR="00897ACB" w:rsidRDefault="00897ACB" w:rsidP="00897ACB">
      <w:pPr>
        <w:pStyle w:val="PEPPOLNormal"/>
      </w:pPr>
      <w:r>
        <w:t xml:space="preserve">This raises the question of when and where the “exact time and date” </w:t>
      </w:r>
      <w:proofErr w:type="gramStart"/>
      <w:r>
        <w:t>should be registered</w:t>
      </w:r>
      <w:proofErr w:type="gramEnd"/>
      <w:r>
        <w:t xml:space="preserve">. This matter </w:t>
      </w:r>
      <w:proofErr w:type="gramStart"/>
      <w:r>
        <w:t>has been discussed</w:t>
      </w:r>
      <w:proofErr w:type="gramEnd"/>
      <w:r>
        <w:t xml:space="preserve"> extensively in the eSENS project, which has concluded that the Time of Arrival (TOA) should be registered at C3 when the message has been received. The TOA </w:t>
      </w:r>
      <w:proofErr w:type="gramStart"/>
      <w:r>
        <w:t>should be returned</w:t>
      </w:r>
      <w:proofErr w:type="gramEnd"/>
      <w:r>
        <w:t xml:space="preserve"> to C2 as part of the </w:t>
      </w:r>
      <w:r w:rsidR="00F061A2">
        <w:t>Non-Repudiation Receipt (</w:t>
      </w:r>
      <w:r>
        <w:t>NRR</w:t>
      </w:r>
      <w:r w:rsidR="00F061A2">
        <w:t>)</w:t>
      </w:r>
      <w:r>
        <w:t>.</w:t>
      </w:r>
    </w:p>
    <w:p w14:paraId="131A87D1" w14:textId="275875C9" w:rsidR="008454AB" w:rsidRDefault="008454AB" w:rsidP="00897ACB">
      <w:pPr>
        <w:pStyle w:val="PEPPOLNormal"/>
      </w:pPr>
      <w:r>
        <w:t>I addition to</w:t>
      </w:r>
      <w:r w:rsidR="007B1B6F">
        <w:t xml:space="preserve"> TOA </w:t>
      </w:r>
      <w:r>
        <w:t>is SHA-1 not seen as secure enough, thus is a stronger hashing algorithm required. Based on work in eSENS is SHA-256 seen as a minimum when using hashing, resulting in a need to use a stronger hashing algorithm in AS2 messages.</w:t>
      </w:r>
    </w:p>
    <w:p w14:paraId="6C0414EE" w14:textId="1BA55EB0" w:rsidR="0085408F" w:rsidRDefault="0085408F" w:rsidP="00867592">
      <w:pPr>
        <w:pStyle w:val="PEPPOLHeadding2"/>
        <w:keepNext/>
      </w:pPr>
      <w:bookmarkStart w:id="32" w:name="_Toc454448726"/>
      <w:r>
        <w:lastRenderedPageBreak/>
        <w:t>The current NRR (AS2 MDN)</w:t>
      </w:r>
      <w:bookmarkEnd w:id="32"/>
    </w:p>
    <w:p w14:paraId="53D68378" w14:textId="05B3A810" w:rsidR="0085408F" w:rsidRDefault="0085408F" w:rsidP="003C6D76">
      <w:pPr>
        <w:pStyle w:val="PEPPOLNormal"/>
      </w:pPr>
      <w:r>
        <w:t xml:space="preserve">The current NRR, which is implemented in AS2 in accordance with </w:t>
      </w:r>
      <w:proofErr w:type="gramStart"/>
      <w:r>
        <w:t>RFC3798</w:t>
      </w:r>
      <w:proofErr w:type="gramEnd"/>
      <w:r>
        <w:t xml:space="preserve"> has been depicted below: </w:t>
      </w:r>
      <w:r w:rsidR="003C6D76" w:rsidRPr="003C6D76">
        <w:rPr>
          <w:noProof/>
          <w:lang w:val="en-US"/>
        </w:rPr>
        <w:drawing>
          <wp:inline distT="0" distB="0" distL="0" distR="0" wp14:anchorId="58432E79" wp14:editId="108E1E0D">
            <wp:extent cx="6750685" cy="7258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5A201" w14:textId="6EA95771" w:rsidR="003C6D76" w:rsidRDefault="003C6D76" w:rsidP="003C6D76">
      <w:pPr>
        <w:pStyle w:val="PEPPOLNormal"/>
      </w:pPr>
      <w:r>
        <w:t xml:space="preserve">The contents of the human readable part </w:t>
      </w:r>
      <w:r w:rsidR="00F650A0">
        <w:t>is</w:t>
      </w:r>
      <w:r w:rsidR="008A4634">
        <w:t xml:space="preserve"> </w:t>
      </w:r>
      <w:r>
        <w:t>free form text, even though it might look like it contains structured information. This example simply contains an “echo” of the http headers received by the sender</w:t>
      </w:r>
      <w:r w:rsidR="008A4634">
        <w:t>’</w:t>
      </w:r>
      <w:r>
        <w:t xml:space="preserve">s </w:t>
      </w:r>
      <w:r w:rsidR="008A4634">
        <w:t>A</w:t>
      </w:r>
      <w:r>
        <w:t xml:space="preserve">ccess </w:t>
      </w:r>
      <w:r w:rsidR="008A4634">
        <w:t>P</w:t>
      </w:r>
      <w:r>
        <w:t xml:space="preserve">oint and </w:t>
      </w:r>
      <w:proofErr w:type="gramStart"/>
      <w:r>
        <w:t>MUST NOT be constru</w:t>
      </w:r>
      <w:r w:rsidR="008A4634">
        <w:t>ct</w:t>
      </w:r>
      <w:r>
        <w:t>ed</w:t>
      </w:r>
      <w:proofErr w:type="gramEnd"/>
      <w:r>
        <w:t xml:space="preserve"> as structured. </w:t>
      </w:r>
    </w:p>
    <w:p w14:paraId="63C1518D" w14:textId="7D66D117" w:rsidR="003C6D76" w:rsidRDefault="003C6D76" w:rsidP="003C6D76">
      <w:pPr>
        <w:pStyle w:val="PEPPOLNormal"/>
      </w:pPr>
      <w:r>
        <w:lastRenderedPageBreak/>
        <w:t xml:space="preserve">The </w:t>
      </w:r>
      <w:r w:rsidR="008A4634">
        <w:t>machine-readable</w:t>
      </w:r>
      <w:r>
        <w:t xml:space="preserve"> part contains strictly name-value pairs, which follow the syntax for </w:t>
      </w:r>
      <w:r w:rsidR="00D50921">
        <w:t xml:space="preserve">MIME </w:t>
      </w:r>
      <w:r>
        <w:t>headers.</w:t>
      </w:r>
    </w:p>
    <w:p w14:paraId="163CD94D" w14:textId="4208D8F0" w:rsidR="003C6D76" w:rsidRDefault="003C6D76" w:rsidP="003C6D76">
      <w:pPr>
        <w:pStyle w:val="PEPPOLNormal"/>
      </w:pPr>
      <w:r>
        <w:t xml:space="preserve">As can be seen, the human readable part </w:t>
      </w:r>
      <w:proofErr w:type="gramStart"/>
      <w:r>
        <w:t>is meant to be read</w:t>
      </w:r>
      <w:proofErr w:type="gramEnd"/>
      <w:r>
        <w:t xml:space="preserve"> by a human being and is henceforth not suitable for parsing by a computer program. </w:t>
      </w:r>
    </w:p>
    <w:p w14:paraId="4B588640" w14:textId="1E232251" w:rsidR="00D50921" w:rsidRDefault="00D50921" w:rsidP="003C6D76">
      <w:pPr>
        <w:pStyle w:val="PEPPOLNormal"/>
      </w:pPr>
      <w:r>
        <w:t xml:space="preserve">The </w:t>
      </w:r>
      <w:proofErr w:type="gramStart"/>
      <w:r>
        <w:t>machine readable</w:t>
      </w:r>
      <w:proofErr w:type="gramEnd"/>
      <w:r>
        <w:t xml:space="preserve"> part, which is intended for consumption by computer programs, does not contain the required fields (TOA and digest of original payload).</w:t>
      </w:r>
    </w:p>
    <w:p w14:paraId="19E6244C" w14:textId="08830D5E" w:rsidR="00897ACB" w:rsidRDefault="003C6D76" w:rsidP="00897ACB">
      <w:pPr>
        <w:pStyle w:val="PEPPOLHeadding1"/>
      </w:pPr>
      <w:r>
        <w:t>.</w:t>
      </w:r>
      <w:bookmarkStart w:id="33" w:name="_Toc454448727"/>
      <w:bookmarkStart w:id="34" w:name="_Toc454448728"/>
      <w:bookmarkEnd w:id="33"/>
      <w:r w:rsidR="00897ACB">
        <w:t>Requirement specification to all of the identified new Capability Extensions</w:t>
      </w:r>
      <w:bookmarkEnd w:id="34"/>
    </w:p>
    <w:p w14:paraId="2D0B4A7B" w14:textId="05A37C8A" w:rsidR="00897ACB" w:rsidRDefault="00897ACB" w:rsidP="00897ACB">
      <w:pPr>
        <w:pStyle w:val="PEPPOLNormal"/>
      </w:pPr>
      <w:r>
        <w:t>The requirements as set forth in 2014/24/EU implies that the transport infrastructure must register a) the TOA and b) the message digest of the original payload as produced by C1 upon receipt in C3</w:t>
      </w:r>
      <w:r w:rsidR="002F795F">
        <w:t xml:space="preserve"> using a trustable hashing algorithm</w:t>
      </w:r>
      <w:r>
        <w:t>.</w:t>
      </w:r>
    </w:p>
    <w:p w14:paraId="2535267A" w14:textId="77777777" w:rsidR="00897ACB" w:rsidRDefault="00897ACB" w:rsidP="00897ACB">
      <w:pPr>
        <w:pStyle w:val="PEPPOLNormal"/>
      </w:pPr>
      <w:r>
        <w:t xml:space="preserve">The AS2 protocol currently </w:t>
      </w:r>
      <w:proofErr w:type="gramStart"/>
      <w:r>
        <w:t>being used</w:t>
      </w:r>
      <w:proofErr w:type="gramEnd"/>
      <w:r>
        <w:t xml:space="preserve"> by PEPPOL does not provide these two information elements. The AS2 MDN, which serves as the NRR, is missing two pieces of information:</w:t>
      </w:r>
    </w:p>
    <w:p w14:paraId="0311EF57" w14:textId="77777777" w:rsidR="00897ACB" w:rsidRDefault="00897ACB" w:rsidP="007466DB">
      <w:pPr>
        <w:pStyle w:val="PEPPOLNormal"/>
        <w:numPr>
          <w:ilvl w:val="0"/>
          <w:numId w:val="6"/>
        </w:numPr>
      </w:pPr>
      <w:r>
        <w:t>The time of arrival (TOA)</w:t>
      </w:r>
    </w:p>
    <w:p w14:paraId="621787FD" w14:textId="5E9E1D97" w:rsidR="00897ACB" w:rsidRDefault="00897ACB" w:rsidP="007466DB">
      <w:pPr>
        <w:pStyle w:val="PEPPOLNormal"/>
        <w:numPr>
          <w:ilvl w:val="0"/>
          <w:numId w:val="6"/>
        </w:numPr>
      </w:pPr>
      <w:r>
        <w:t>The message digest of the payload.</w:t>
      </w:r>
    </w:p>
    <w:p w14:paraId="3BC8D545" w14:textId="77777777" w:rsidR="00897ACB" w:rsidRDefault="00897ACB" w:rsidP="007466DB">
      <w:pPr>
        <w:pStyle w:val="PEPPOLNormal"/>
      </w:pPr>
      <w:r>
        <w:t>The current AS2 MDN does not include</w:t>
      </w:r>
      <w:r w:rsidR="007466DB">
        <w:t xml:space="preserve"> these fields</w:t>
      </w:r>
      <w:r>
        <w:t>:</w:t>
      </w:r>
    </w:p>
    <w:p w14:paraId="22AA992D" w14:textId="77777777" w:rsidR="00897ACB" w:rsidRDefault="00E30828" w:rsidP="007466DB">
      <w:pPr>
        <w:pStyle w:val="PEPPOLNormal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>There</w:t>
      </w:r>
      <w:r w:rsidR="007466DB">
        <w:rPr>
          <w:rFonts w:ascii="Segoe UI" w:hAnsi="Segoe UI" w:cs="Segoe UI"/>
          <w:color w:val="000000"/>
          <w:shd w:val="clear" w:color="auto" w:fill="FFFFFF"/>
        </w:rPr>
        <w:t xml:space="preserve"> is no timestamp in the machine-readable and signed part of the MDN.</w:t>
      </w:r>
    </w:p>
    <w:p w14:paraId="2FDC9039" w14:textId="63E29344" w:rsidR="00AD6A39" w:rsidRDefault="00AD6A39" w:rsidP="007466DB">
      <w:pPr>
        <w:pStyle w:val="PEPPOLNormal"/>
        <w:numPr>
          <w:ilvl w:val="0"/>
          <w:numId w:val="7"/>
        </w:numPr>
      </w:pPr>
      <w:r>
        <w:rPr>
          <w:rFonts w:ascii="Segoe UI" w:hAnsi="Segoe UI" w:cs="Segoe UI"/>
          <w:color w:val="000000"/>
          <w:shd w:val="clear" w:color="auto" w:fill="FFFFFF"/>
        </w:rPr>
        <w:t xml:space="preserve">There is a digest of the </w:t>
      </w:r>
      <w:r w:rsidR="002F795F">
        <w:rPr>
          <w:rFonts w:ascii="Segoe UI" w:hAnsi="Segoe UI" w:cs="Segoe UI"/>
          <w:color w:val="000000"/>
          <w:shd w:val="clear" w:color="auto" w:fill="FFFFFF"/>
        </w:rPr>
        <w:t>payload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2F795F">
        <w:rPr>
          <w:rFonts w:ascii="Segoe UI" w:hAnsi="Segoe UI" w:cs="Segoe UI"/>
          <w:color w:val="000000"/>
          <w:shd w:val="clear" w:color="auto" w:fill="FFFFFF"/>
        </w:rPr>
        <w:t>however,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this uses SHA-1 only</w:t>
      </w:r>
      <w:r w:rsidR="002F795F">
        <w:rPr>
          <w:rFonts w:ascii="Segoe UI" w:hAnsi="Segoe UI" w:cs="Segoe UI"/>
          <w:color w:val="000000"/>
          <w:shd w:val="clear" w:color="auto" w:fill="FFFFFF"/>
        </w:rPr>
        <w:t>.</w:t>
      </w:r>
    </w:p>
    <w:p w14:paraId="283F836D" w14:textId="77777777" w:rsidR="00897ACB" w:rsidRDefault="00897ACB" w:rsidP="007466DB">
      <w:pPr>
        <w:pStyle w:val="PEPPOLNormal"/>
      </w:pPr>
      <w:r>
        <w:t>This implies that AS2 currently does not comply with the provisions of the directive.</w:t>
      </w:r>
    </w:p>
    <w:p w14:paraId="27A1B8CD" w14:textId="77777777" w:rsidR="00897ACB" w:rsidRDefault="00897ACB" w:rsidP="007466DB">
      <w:pPr>
        <w:pStyle w:val="PEPPOLHeadding1"/>
      </w:pPr>
      <w:bookmarkStart w:id="35" w:name="_Toc454448729"/>
      <w:bookmarkStart w:id="36" w:name="_Toc454448730"/>
      <w:bookmarkEnd w:id="35"/>
      <w:r>
        <w:t>Design Documentation for all of the identified new Capability Extensions</w:t>
      </w:r>
      <w:bookmarkEnd w:id="36"/>
    </w:p>
    <w:p w14:paraId="023B5FE7" w14:textId="77777777" w:rsidR="00897ACB" w:rsidRPr="00E30828" w:rsidRDefault="00897ACB" w:rsidP="00E30828">
      <w:pPr>
        <w:pStyle w:val="PEPPOLNormal"/>
      </w:pPr>
      <w:r>
        <w:t xml:space="preserve">In AS2, the NRR </w:t>
      </w:r>
      <w:proofErr w:type="gramStart"/>
      <w:r>
        <w:t>is named Message Delivery Notification (MDN) and specified in RFC3798</w:t>
      </w:r>
      <w:proofErr w:type="gramEnd"/>
      <w:r>
        <w:rPr>
          <w:rStyle w:val="FootnoteReference"/>
          <w:lang w:val="en-US"/>
        </w:rPr>
        <w:footnoteReference w:id="1"/>
      </w:r>
      <w:r>
        <w:t>.</w:t>
      </w:r>
    </w:p>
    <w:p w14:paraId="3ADAC2B6" w14:textId="77777777" w:rsidR="00897ACB" w:rsidRDefault="00897ACB" w:rsidP="007466DB">
      <w:pPr>
        <w:pStyle w:val="PEPPOLNormal"/>
      </w:pPr>
      <w:r>
        <w:t>In order to comply with the provisions of Directive 2014/24/EU, we must add the following features to the transport protocol:</w:t>
      </w:r>
    </w:p>
    <w:p w14:paraId="756C96E2" w14:textId="77777777" w:rsidR="00897ACB" w:rsidRDefault="00897ACB" w:rsidP="007466DB">
      <w:pPr>
        <w:pStyle w:val="PEPPOLNormal"/>
        <w:numPr>
          <w:ilvl w:val="0"/>
          <w:numId w:val="8"/>
        </w:numPr>
      </w:pPr>
      <w:r>
        <w:t xml:space="preserve">The time of arrival (TOA) of the message at C3, must be included in the </w:t>
      </w:r>
      <w:proofErr w:type="gramStart"/>
      <w:r>
        <w:t>machine readable</w:t>
      </w:r>
      <w:proofErr w:type="gramEnd"/>
      <w:r>
        <w:t xml:space="preserve"> part of the AS2 MDN.</w:t>
      </w:r>
    </w:p>
    <w:p w14:paraId="61E559FB" w14:textId="19BE3C9F" w:rsidR="00897ACB" w:rsidRDefault="00897ACB" w:rsidP="007466DB">
      <w:pPr>
        <w:pStyle w:val="ListParagraph"/>
        <w:numPr>
          <w:ilvl w:val="0"/>
          <w:numId w:val="8"/>
        </w:numPr>
      </w:pPr>
      <w:bookmarkStart w:id="37" w:name="_Toc454448731"/>
      <w:r w:rsidRPr="00382C47">
        <w:rPr>
          <w:sz w:val="22"/>
        </w:rPr>
        <w:t xml:space="preserve">The message digest of the original payload, which </w:t>
      </w:r>
      <w:proofErr w:type="gramStart"/>
      <w:r w:rsidRPr="00382C47">
        <w:rPr>
          <w:sz w:val="22"/>
        </w:rPr>
        <w:t>was produced</w:t>
      </w:r>
      <w:proofErr w:type="gramEnd"/>
      <w:r w:rsidRPr="00382C47">
        <w:rPr>
          <w:sz w:val="22"/>
        </w:rPr>
        <w:t xml:space="preserve"> in C1, must be included in the machine-readable part of the AS2 MDN</w:t>
      </w:r>
      <w:r>
        <w:t>.</w:t>
      </w:r>
      <w:bookmarkEnd w:id="37"/>
    </w:p>
    <w:p w14:paraId="36B9D205" w14:textId="77777777" w:rsidR="00897ACB" w:rsidRDefault="00897ACB" w:rsidP="007466DB">
      <w:pPr>
        <w:pStyle w:val="PEPPOLNormal"/>
        <w:numPr>
          <w:ilvl w:val="0"/>
          <w:numId w:val="8"/>
        </w:numPr>
      </w:pPr>
      <w:r>
        <w:t xml:space="preserve">Upon request from C1 and C4, C2 and C3 must provide a NRR, which contains the said information elements. The NRR must be transport protocol agnostic. I.e. the AS2 MDN should not be provided as-is. </w:t>
      </w:r>
      <w:r>
        <w:br/>
        <w:t>The eSENS project has mandated the use of REM evidence in accordance with a slightly extended version of ETSI TS 102 640-2 v2.1.1</w:t>
      </w:r>
      <w:r>
        <w:rPr>
          <w:rStyle w:val="FootnoteReference"/>
          <w:lang w:val="en-US"/>
        </w:rPr>
        <w:footnoteReference w:id="2"/>
      </w:r>
      <w:r>
        <w:br/>
      </w:r>
      <w:r>
        <w:br/>
        <w:t xml:space="preserve">This provision should be included in the Transport Infrastructure Agreement (TIA). The details of the REM evidence </w:t>
      </w:r>
      <w:proofErr w:type="gramStart"/>
      <w:r>
        <w:t>are specified</w:t>
      </w:r>
      <w:proofErr w:type="gramEnd"/>
      <w:r>
        <w:t xml:space="preserve"> in a separate document.</w:t>
      </w:r>
    </w:p>
    <w:p w14:paraId="11BAC982" w14:textId="77777777" w:rsidR="00897ACB" w:rsidRDefault="00897ACB" w:rsidP="00E30828">
      <w:pPr>
        <w:pStyle w:val="PEPPOLHeadding2"/>
      </w:pPr>
      <w:bookmarkStart w:id="38" w:name="_Toc454448732"/>
      <w:r>
        <w:lastRenderedPageBreak/>
        <w:t>Modified AS2 MDN (RFC3798)</w:t>
      </w:r>
      <w:bookmarkEnd w:id="38"/>
    </w:p>
    <w:p w14:paraId="45D142D6" w14:textId="77777777" w:rsidR="00897ACB" w:rsidRDefault="00897ACB" w:rsidP="00E30828">
      <w:pPr>
        <w:pStyle w:val="PEPPOLNormal"/>
      </w:pPr>
      <w:r>
        <w:t xml:space="preserve">Section 3.3 of RFC3798 </w:t>
      </w:r>
      <w:proofErr w:type="gramStart"/>
      <w:r>
        <w:t>specifies that</w:t>
      </w:r>
      <w:proofErr w:type="gramEnd"/>
      <w:r>
        <w:t xml:space="preserve"> “additional MDN fields may be defined in the future by later revisions or extensions to this specification”.</w:t>
      </w:r>
    </w:p>
    <w:p w14:paraId="07FDF7F1" w14:textId="5BAC0F49" w:rsidR="00897ACB" w:rsidRDefault="00897ACB" w:rsidP="00E30828">
      <w:pPr>
        <w:pStyle w:val="PEPPOLNormal"/>
      </w:pPr>
      <w:r>
        <w:t xml:space="preserve">In accordance with the provisions of section 3.3, </w:t>
      </w:r>
      <w:r w:rsidR="00D64856">
        <w:t xml:space="preserve">this </w:t>
      </w:r>
      <w:r>
        <w:t xml:space="preserve">additional field </w:t>
      </w:r>
      <w:proofErr w:type="gramStart"/>
      <w:r>
        <w:t>should be added</w:t>
      </w:r>
      <w:proofErr w:type="gramEnd"/>
      <w:r>
        <w:t xml:space="preserve"> to the MDN:</w:t>
      </w:r>
    </w:p>
    <w:p w14:paraId="351D971E" w14:textId="77777777" w:rsidR="00897ACB" w:rsidRDefault="00897ACB" w:rsidP="00897ACB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897ACB" w14:paraId="1B09CDC0" w14:textId="77777777" w:rsidTr="00EE3412">
        <w:tc>
          <w:tcPr>
            <w:tcW w:w="4111" w:type="dxa"/>
          </w:tcPr>
          <w:p w14:paraId="4B3B2713" w14:textId="77777777" w:rsidR="00897ACB" w:rsidRDefault="00897ACB" w:rsidP="00EE3412">
            <w:pPr>
              <w:pStyle w:val="PEPPOLNormal"/>
              <w:ind w:left="0"/>
            </w:pPr>
            <w:r>
              <w:t>Field name</w:t>
            </w:r>
          </w:p>
        </w:tc>
        <w:tc>
          <w:tcPr>
            <w:tcW w:w="5245" w:type="dxa"/>
          </w:tcPr>
          <w:p w14:paraId="3756E130" w14:textId="77777777" w:rsidR="00897ACB" w:rsidRDefault="00897ACB" w:rsidP="00E30828">
            <w:pPr>
              <w:pStyle w:val="PEPPOLNormal"/>
            </w:pPr>
            <w:r>
              <w:t>Field description</w:t>
            </w:r>
          </w:p>
        </w:tc>
      </w:tr>
      <w:tr w:rsidR="00897ACB" w14:paraId="5B22CB99" w14:textId="77777777" w:rsidTr="00EE3412">
        <w:tc>
          <w:tcPr>
            <w:tcW w:w="4111" w:type="dxa"/>
          </w:tcPr>
          <w:p w14:paraId="6226F406" w14:textId="5AE94D41" w:rsidR="00897ACB" w:rsidRPr="00C6553B" w:rsidRDefault="005D643B" w:rsidP="00EE3412">
            <w:pPr>
              <w:pStyle w:val="PEPPOLNormal"/>
              <w:ind w:left="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</w:t>
            </w:r>
          </w:p>
          <w:p w14:paraId="0B6C69A4" w14:textId="77777777" w:rsidR="00897ACB" w:rsidRDefault="00897ACB" w:rsidP="00EE3412">
            <w:pPr>
              <w:pStyle w:val="PEPPOLNormal"/>
              <w:ind w:left="0"/>
            </w:pPr>
          </w:p>
        </w:tc>
        <w:tc>
          <w:tcPr>
            <w:tcW w:w="5245" w:type="dxa"/>
          </w:tcPr>
          <w:p w14:paraId="591D7BCA" w14:textId="5DEBEC35" w:rsidR="008A4634" w:rsidRDefault="00897ACB" w:rsidP="002F795F">
            <w:pPr>
              <w:pStyle w:val="PEPPOLNormal"/>
              <w:ind w:left="0"/>
            </w:pPr>
            <w:r>
              <w:t>Contains the “time of arrival” TOA of the message</w:t>
            </w:r>
            <w:r w:rsidR="002F795F">
              <w:t xml:space="preserve"> as defined by IANA</w:t>
            </w:r>
            <w:r>
              <w:t xml:space="preserve">. The value </w:t>
            </w:r>
            <w:proofErr w:type="gramStart"/>
            <w:r>
              <w:t>should be formatted</w:t>
            </w:r>
            <w:proofErr w:type="gramEnd"/>
            <w:r>
              <w:t xml:space="preserve"> as specified by </w:t>
            </w:r>
            <w:r w:rsidR="002F795F">
              <w:t>RFC5322 3.3.</w:t>
            </w:r>
            <w:r w:rsidR="002F795F" w:rsidDel="002F795F">
              <w:t xml:space="preserve"> </w:t>
            </w:r>
            <w:r w:rsidR="008A4634">
              <w:t>It must include the date and time up to seconds accuracy.</w:t>
            </w:r>
          </w:p>
        </w:tc>
      </w:tr>
    </w:tbl>
    <w:p w14:paraId="13C186DD" w14:textId="5142D7F1" w:rsidR="00B644B8" w:rsidRDefault="00B644B8" w:rsidP="00957622">
      <w:pPr>
        <w:rPr>
          <w:noProof/>
          <w:lang w:eastAsia="nb-NO"/>
        </w:rPr>
      </w:pPr>
    </w:p>
    <w:p w14:paraId="572747AA" w14:textId="6312B238" w:rsidR="00321842" w:rsidRDefault="00683065" w:rsidP="00957622">
      <w:pPr>
        <w:pStyle w:val="PEPPOLHeadding2"/>
      </w:pPr>
      <w:r>
        <w:t>Updated hashing algorithm</w:t>
      </w:r>
    </w:p>
    <w:p w14:paraId="610DA228" w14:textId="208A0495" w:rsidR="00683065" w:rsidRDefault="00683065" w:rsidP="00957622">
      <w:pPr>
        <w:pStyle w:val="PEPPOLNormal"/>
      </w:pPr>
      <w:r>
        <w:t>RFC4130, written in 2005, states that MD5 and SHA-1 are “[t]</w:t>
      </w:r>
      <w:r w:rsidRPr="00683065">
        <w:t>he currently supported values for MIC algorithm &lt;</w:t>
      </w:r>
      <w:proofErr w:type="spellStart"/>
      <w:r w:rsidRPr="00683065">
        <w:t>micalg</w:t>
      </w:r>
      <w:proofErr w:type="spellEnd"/>
      <w:r w:rsidRPr="00683065">
        <w:t>&gt; values</w:t>
      </w:r>
      <w:r>
        <w:t xml:space="preserve">”. RFC3851, which RFC4130 is based </w:t>
      </w:r>
      <w:proofErr w:type="gramStart"/>
      <w:r>
        <w:t>upon</w:t>
      </w:r>
      <w:proofErr w:type="gramEnd"/>
      <w:r>
        <w:t xml:space="preserve"> specifies support for SHA-256, SHA-384 and SHA-512 in addition to MD5 and SHA-1, and it also allows for other hashing algorithms to be used.</w:t>
      </w:r>
    </w:p>
    <w:p w14:paraId="738748A4" w14:textId="699CE945" w:rsidR="00957622" w:rsidRPr="00683065" w:rsidRDefault="00683065" w:rsidP="00957622">
      <w:pPr>
        <w:pStyle w:val="PEPPOLNormal"/>
      </w:pPr>
      <w:r>
        <w:t>Based on our current knowledge (2016) related to w</w:t>
      </w:r>
      <w:r w:rsidR="00957622">
        <w:t>eaknesses in hashing algorithms and the development in computer hardware since 2005,</w:t>
      </w:r>
      <w:r>
        <w:t xml:space="preserve"> it is reasonable to </w:t>
      </w:r>
      <w:r w:rsidR="00957622">
        <w:t xml:space="preserve">update the algorithm used by OpenPEPPOL to be a stronger when new requirements arises. Based on requirements </w:t>
      </w:r>
      <w:proofErr w:type="gramStart"/>
      <w:r w:rsidR="00957622">
        <w:t>is SHA-512 chosen</w:t>
      </w:r>
      <w:proofErr w:type="gramEnd"/>
      <w:r w:rsidR="00957622">
        <w:t xml:space="preserve"> as the proposed hashing algorithm.</w:t>
      </w:r>
    </w:p>
    <w:p w14:paraId="05EEB446" w14:textId="4E286CCD" w:rsidR="00617076" w:rsidRDefault="00617076" w:rsidP="00957622">
      <w:pPr>
        <w:pStyle w:val="PEPPOLHeadding2"/>
      </w:pPr>
      <w:r>
        <w:t>Introducing “</w:t>
      </w:r>
      <w:r w:rsidRPr="00617076">
        <w:t>busdox-transport-as2-ver1p0</w:t>
      </w:r>
      <w:r>
        <w:t>r1”</w:t>
      </w:r>
    </w:p>
    <w:p w14:paraId="1DC98742" w14:textId="23CBA56F" w:rsidR="00617076" w:rsidRDefault="00617076">
      <w:pPr>
        <w:pStyle w:val="PEPPOLNormal"/>
      </w:pPr>
      <w:r>
        <w:t>To be able to distinguish the version u</w:t>
      </w:r>
      <w:r w:rsidR="00957622">
        <w:t>sing SHA-1 from the one using S</w:t>
      </w:r>
      <w:r>
        <w:t>H</w:t>
      </w:r>
      <w:r w:rsidR="00957622">
        <w:t>A</w:t>
      </w:r>
      <w:r>
        <w:t>-</w:t>
      </w:r>
      <w:r w:rsidR="00957622">
        <w:t>512</w:t>
      </w:r>
      <w:r>
        <w:t xml:space="preserve">, we should introduce this revisited </w:t>
      </w:r>
      <w:r w:rsidR="00957622">
        <w:t xml:space="preserve">OpenPEPPOL </w:t>
      </w:r>
      <w:r>
        <w:t xml:space="preserve">AS2 </w:t>
      </w:r>
      <w:r w:rsidR="00957622">
        <w:t xml:space="preserve">profile </w:t>
      </w:r>
      <w:r w:rsidR="004702D5">
        <w:t xml:space="preserve">as version 1.0.1, both as a new version of the </w:t>
      </w:r>
      <w:r w:rsidR="00957622">
        <w:t>profile</w:t>
      </w:r>
      <w:r w:rsidR="004702D5">
        <w:t xml:space="preserve"> and as a separate endpoint in the SMP.</w:t>
      </w:r>
      <w:r>
        <w:t xml:space="preserve"> </w:t>
      </w:r>
      <w:r w:rsidR="00957622">
        <w:t>AS2 v</w:t>
      </w:r>
      <w:r>
        <w:t>ersions 1.0/</w:t>
      </w:r>
      <w:r w:rsidR="00957622">
        <w:t>1</w:t>
      </w:r>
      <w:r>
        <w:t>.1/</w:t>
      </w:r>
      <w:r w:rsidR="00957622">
        <w:t>1</w:t>
      </w:r>
      <w:r>
        <w:t xml:space="preserve">.2 </w:t>
      </w:r>
      <w:proofErr w:type="gramStart"/>
      <w:r>
        <w:t>are already defined, and as this</w:t>
      </w:r>
      <w:r w:rsidR="004702D5">
        <w:t xml:space="preserve"> proposal</w:t>
      </w:r>
      <w:r>
        <w:t xml:space="preserve"> does not introduce functionality found in those</w:t>
      </w:r>
      <w:proofErr w:type="gramEnd"/>
      <w:r>
        <w:t xml:space="preserve"> minor versions, it is only appropriate to add this as a revision of our existing implementation.</w:t>
      </w:r>
    </w:p>
    <w:p w14:paraId="3968F2A9" w14:textId="5EEE684F" w:rsidR="00617076" w:rsidRDefault="00957622">
      <w:pPr>
        <w:pStyle w:val="PEPPOLNormal"/>
      </w:pPr>
      <w:r>
        <w:t>Introducing SHA-512</w:t>
      </w:r>
      <w:r w:rsidR="00617076">
        <w:t xml:space="preserve"> means </w:t>
      </w:r>
      <w:r>
        <w:t>in practice to introduce SHA-512</w:t>
      </w:r>
      <w:r w:rsidR="00617076">
        <w:t xml:space="preserve"> not only in the MDN, but also in the AS2 message. By doin</w:t>
      </w:r>
      <w:r w:rsidR="004702D5">
        <w:t>g s</w:t>
      </w:r>
      <w:r w:rsidR="00617076">
        <w:t xml:space="preserve">o may the AS2 endpoint be able to handle both versions as the </w:t>
      </w:r>
      <w:r w:rsidR="00C27184">
        <w:t>AS2 message contains inform</w:t>
      </w:r>
      <w:r w:rsidR="004702D5">
        <w:t>ation regarding digest used in its h</w:t>
      </w:r>
      <w:r w:rsidR="00C27184">
        <w:t>eader.</w:t>
      </w:r>
    </w:p>
    <w:p w14:paraId="7E1C0647" w14:textId="02ACB667" w:rsidR="00617076" w:rsidRPr="00617076" w:rsidRDefault="004702D5" w:rsidP="00F569C3">
      <w:pPr>
        <w:pStyle w:val="PEPPOLNormal"/>
      </w:pPr>
      <w:r>
        <w:t xml:space="preserve">We should not expected that all endpoint in the network may handle version 1.0.1, </w:t>
      </w:r>
      <w:r w:rsidR="00617076">
        <w:t xml:space="preserve">but as this is </w:t>
      </w:r>
      <w:r w:rsidR="00C27184">
        <w:t>a rather minor update, we should be able to see an upgrade of the network in a timely manner.</w:t>
      </w:r>
    </w:p>
    <w:p w14:paraId="400596C9" w14:textId="16CE58EA" w:rsidR="00082280" w:rsidRDefault="00897ACB" w:rsidP="00082280">
      <w:pPr>
        <w:pStyle w:val="PEPPOLHeadding1"/>
      </w:pPr>
      <w:bookmarkStart w:id="39" w:name="_Toc454448733"/>
      <w:r>
        <w:t>Revised eDelivery specifications/profile</w:t>
      </w:r>
      <w:bookmarkEnd w:id="39"/>
      <w:r>
        <w:t xml:space="preserve"> </w:t>
      </w:r>
    </w:p>
    <w:p w14:paraId="4A44B677" w14:textId="1CDE9135" w:rsidR="007E4F2A" w:rsidRDefault="007E4F2A" w:rsidP="00F569C3">
      <w:pPr>
        <w:pStyle w:val="PEPPOLNormal"/>
      </w:pPr>
      <w:r>
        <w:t xml:space="preserve">As described above should the OpenPEPPOL AS2 profile be updated to version </w:t>
      </w:r>
      <w:proofErr w:type="gramStart"/>
      <w:r>
        <w:t>1.0.1.</w:t>
      </w:r>
      <w:proofErr w:type="gramEnd"/>
      <w:r>
        <w:t xml:space="preserve"> Changes </w:t>
      </w:r>
      <w:proofErr w:type="gramStart"/>
      <w:r>
        <w:t>are rated</w:t>
      </w:r>
      <w:proofErr w:type="gramEnd"/>
      <w:r>
        <w:t xml:space="preserve"> as such:</w:t>
      </w:r>
    </w:p>
    <w:p w14:paraId="54F02C41" w14:textId="1EE50B5C" w:rsidR="007E4F2A" w:rsidRDefault="007E4F2A" w:rsidP="007E4F2A">
      <w:pPr>
        <w:pStyle w:val="PEPPOLNormal"/>
        <w:numPr>
          <w:ilvl w:val="0"/>
          <w:numId w:val="7"/>
        </w:numPr>
      </w:pPr>
      <w:r>
        <w:t xml:space="preserve">Changing from SHA-1 to SHA-512 – As this </w:t>
      </w:r>
      <w:proofErr w:type="gramStart"/>
      <w:r>
        <w:t>is grounded</w:t>
      </w:r>
      <w:proofErr w:type="gramEnd"/>
      <w:r>
        <w:t xml:space="preserve"> on standards AS2 builds upon, this is fully within the scope of a profile.</w:t>
      </w:r>
    </w:p>
    <w:p w14:paraId="69DCD9B1" w14:textId="656FE42E" w:rsidR="007E4F2A" w:rsidRDefault="007E4F2A" w:rsidP="007E4F2A">
      <w:pPr>
        <w:pStyle w:val="PEPPOLNormal"/>
        <w:numPr>
          <w:ilvl w:val="0"/>
          <w:numId w:val="7"/>
        </w:numPr>
      </w:pPr>
      <w:r>
        <w:t>Adding the Date field in MDN – This is seen as an extension to the OpenPEPPOL AS2 profile.</w:t>
      </w:r>
    </w:p>
    <w:p w14:paraId="1091A343" w14:textId="7ABD6D8E" w:rsidR="007E4F2A" w:rsidRDefault="007E4F2A" w:rsidP="00F569C3">
      <w:pPr>
        <w:pStyle w:val="PEPPOLNormal"/>
      </w:pPr>
      <w:r>
        <w:lastRenderedPageBreak/>
        <w:t>The current OpenPEPPOL AS2 profile defines new error codes</w:t>
      </w:r>
      <w:r w:rsidR="004A212A">
        <w:t xml:space="preserve"> in the MDN</w:t>
      </w:r>
      <w:r>
        <w:t xml:space="preserve"> not part of AS2 or any standards AS2 builds upon</w:t>
      </w:r>
      <w:r w:rsidR="004A212A">
        <w:t xml:space="preserve">. Not only is the new error codes specified in the profile, </w:t>
      </w:r>
      <w:r w:rsidR="001B6E9F">
        <w:t>OpenPEPPOL also recommends to use them</w:t>
      </w:r>
      <w:r w:rsidR="004A212A">
        <w:t xml:space="preserve">. By defining new error codes </w:t>
      </w:r>
      <w:r w:rsidR="0033591E">
        <w:t xml:space="preserve">is the </w:t>
      </w:r>
      <w:r w:rsidR="004A212A">
        <w:t xml:space="preserve">OpenPEPPOL AS2 profile </w:t>
      </w:r>
      <w:r w:rsidR="0033591E">
        <w:t>in fact the</w:t>
      </w:r>
      <w:r w:rsidR="004A212A">
        <w:t xml:space="preserve"> OpenPEPPOL AS2 extension.</w:t>
      </w:r>
    </w:p>
    <w:p w14:paraId="738F0366" w14:textId="471AD16D" w:rsidR="00F569C3" w:rsidRPr="00F569C3" w:rsidRDefault="004A212A" w:rsidP="00F569C3">
      <w:pPr>
        <w:pStyle w:val="PEPPOLNormal"/>
      </w:pPr>
      <w:r>
        <w:t>Both proposed changes fits nicely inside the current OpenPEPPOL AS2 extension, thus are there no needs to look for other protocols to implement this rather minimal change to the</w:t>
      </w:r>
      <w:r w:rsidR="00537CB9">
        <w:t xml:space="preserve"> existing</w:t>
      </w:r>
      <w:r>
        <w:t xml:space="preserve"> extension</w:t>
      </w:r>
      <w:r w:rsidR="00537CB9">
        <w:t xml:space="preserve"> that fulfils our new requirements</w:t>
      </w:r>
      <w:r>
        <w:t>.</w:t>
      </w:r>
    </w:p>
    <w:p w14:paraId="0DB2479D" w14:textId="36DE4CBC" w:rsidR="00897ACB" w:rsidRDefault="00897ACB" w:rsidP="00F569C3">
      <w:pPr>
        <w:pStyle w:val="PEPPOLHeadding1"/>
      </w:pPr>
      <w:bookmarkStart w:id="40" w:name="_Toc454448734"/>
      <w:r>
        <w:t>Implementation plan</w:t>
      </w:r>
      <w:bookmarkEnd w:id="40"/>
    </w:p>
    <w:p w14:paraId="394D7186" w14:textId="057DB5D7" w:rsidR="00F569C3" w:rsidRPr="00F569C3" w:rsidRDefault="003F7FD0" w:rsidP="00F569C3">
      <w:pPr>
        <w:pStyle w:val="PEPPOLNormal"/>
      </w:pPr>
      <w:r>
        <w:t xml:space="preserve">OpenPEPPOL AS2 profile/extension 1.0.1 </w:t>
      </w:r>
      <w:proofErr w:type="gramStart"/>
      <w:r>
        <w:t>should be made</w:t>
      </w:r>
      <w:proofErr w:type="gramEnd"/>
      <w:r>
        <w:t xml:space="preserve"> available as an optional extension for those domains requiring this update. The proposal is not in conflict with traffic in the PEPPOL network not using this extension.</w:t>
      </w:r>
    </w:p>
    <w:p w14:paraId="0B721819" w14:textId="77777777" w:rsidR="00897ACB" w:rsidRDefault="00897ACB" w:rsidP="00E30828">
      <w:pPr>
        <w:pStyle w:val="PEPPOLHeadding1"/>
      </w:pPr>
      <w:bookmarkStart w:id="41" w:name="_Toc454448735"/>
      <w:r>
        <w:t>Relevant request for change to CEF eDelivery</w:t>
      </w:r>
      <w:bookmarkEnd w:id="41"/>
      <w:r>
        <w:t xml:space="preserve"> </w:t>
      </w:r>
    </w:p>
    <w:p w14:paraId="4D5903CD" w14:textId="3183559A" w:rsidR="00F569C3" w:rsidRPr="00F569C3" w:rsidRDefault="007E4F2A" w:rsidP="00F569C3">
      <w:pPr>
        <w:pStyle w:val="PEPPOLNormal"/>
      </w:pPr>
      <w:r>
        <w:t>This update does not require changes related to CEF eDelivery.</w:t>
      </w:r>
    </w:p>
    <w:p w14:paraId="33132431" w14:textId="77777777" w:rsidR="00897ACB" w:rsidRDefault="00897ACB" w:rsidP="00897ACB"/>
    <w:p w14:paraId="00602C9E" w14:textId="77777777" w:rsidR="00E958D5" w:rsidRPr="00897ACB" w:rsidRDefault="00E958D5" w:rsidP="0034175E">
      <w:pPr>
        <w:pStyle w:val="PEPPOLNormal"/>
        <w:rPr>
          <w:lang w:val="en-US"/>
        </w:rPr>
      </w:pPr>
    </w:p>
    <w:p w14:paraId="049C6173" w14:textId="77777777" w:rsidR="00E958D5" w:rsidRPr="000731EA" w:rsidRDefault="00E958D5" w:rsidP="001A6E2C">
      <w:pPr>
        <w:pStyle w:val="PEPPOLNormal"/>
        <w:ind w:left="0"/>
      </w:pPr>
    </w:p>
    <w:sectPr w:rsidR="00E958D5" w:rsidRPr="000731EA" w:rsidSect="00CC654F">
      <w:headerReference w:type="default" r:id="rId12"/>
      <w:footerReference w:type="default" r:id="rId13"/>
      <w:headerReference w:type="first" r:id="rId14"/>
      <w:pgSz w:w="11906" w:h="16838"/>
      <w:pgMar w:top="1985" w:right="566" w:bottom="1134" w:left="709" w:header="709" w:footer="90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6199" w14:textId="77777777" w:rsidR="001952AE" w:rsidRDefault="001952AE" w:rsidP="007041A0">
      <w:r>
        <w:separator/>
      </w:r>
    </w:p>
  </w:endnote>
  <w:endnote w:type="continuationSeparator" w:id="0">
    <w:p w14:paraId="56C13CEC" w14:textId="77777777" w:rsidR="001952AE" w:rsidRDefault="001952AE" w:rsidP="0070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EC69" w14:textId="77777777" w:rsidR="00296171" w:rsidRDefault="001952AE" w:rsidP="00296171">
    <w:pPr>
      <w:pStyle w:val="Footer"/>
    </w:pPr>
    <w:r>
      <w:pict w14:anchorId="714037D8">
        <v:rect id="_x0000_i1026" style="width:545.8pt;height:2pt" o:hralign="center" o:hrstd="t" o:hrnoshade="t" o:hr="t" fillcolor="#1f497d" stroked="f"/>
      </w:pict>
    </w:r>
  </w:p>
  <w:tbl>
    <w:tblPr>
      <w:tblpPr w:vertAnchor="page" w:horzAnchor="margin" w:tblpY="15480"/>
      <w:tblOverlap w:val="never"/>
      <w:tblW w:w="2197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253"/>
      <w:gridCol w:w="3436"/>
      <w:gridCol w:w="74"/>
      <w:gridCol w:w="142"/>
      <w:gridCol w:w="1167"/>
      <w:gridCol w:w="1843"/>
      <w:gridCol w:w="3828"/>
      <w:gridCol w:w="1988"/>
      <w:gridCol w:w="2130"/>
      <w:gridCol w:w="121"/>
      <w:gridCol w:w="580"/>
      <w:gridCol w:w="2414"/>
    </w:tblGrid>
    <w:tr w:rsidR="00296171" w:rsidRPr="008C4EAA" w14:paraId="06A538AC" w14:textId="77777777" w:rsidTr="00550F5B">
      <w:trPr>
        <w:trHeight w:val="851"/>
      </w:trPr>
      <w:tc>
        <w:tcPr>
          <w:tcW w:w="4253" w:type="dxa"/>
        </w:tcPr>
        <w:p w14:paraId="40DF72BA" w14:textId="77777777" w:rsidR="00296171" w:rsidRPr="007B2C18" w:rsidRDefault="001B2954" w:rsidP="001B2954">
          <w:pPr>
            <w:pStyle w:val="Address"/>
            <w:framePr w:wrap="auto" w:vAnchor="margin" w:hAnchor="text" w:yAlign="inline"/>
            <w:suppressOverlap w:val="0"/>
          </w:pPr>
          <w:r>
            <w:drawing>
              <wp:anchor distT="0" distB="0" distL="114300" distR="114300" simplePos="0" relativeHeight="251658240" behindDoc="0" locked="0" layoutInCell="1" allowOverlap="1" wp14:anchorId="47AB570C" wp14:editId="133751B0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14985" cy="531495"/>
                <wp:effectExtent l="0" t="0" r="0" b="0"/>
                <wp:wrapNone/>
                <wp:docPr id="61" name="Bilde 61" descr="logo_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 descr="logo_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6171" w:rsidRPr="007B2C18">
            <w:t>OpenPEPPOL AISBL</w:t>
          </w:r>
        </w:p>
        <w:p w14:paraId="574129B4" w14:textId="77777777" w:rsidR="00296171" w:rsidRPr="007B2C18" w:rsidRDefault="00296171" w:rsidP="001B2954">
          <w:pPr>
            <w:pStyle w:val="Address"/>
            <w:framePr w:wrap="auto" w:vAnchor="margin" w:hAnchor="text" w:yAlign="inline"/>
            <w:suppressOverlap w:val="0"/>
          </w:pPr>
          <w:r w:rsidRPr="007B2C18">
            <w:t>Rond-point Schuman 6, box 5</w:t>
          </w:r>
        </w:p>
        <w:p w14:paraId="79E9B9F3" w14:textId="77777777" w:rsidR="00296171" w:rsidRPr="007B2C18" w:rsidRDefault="00296171" w:rsidP="001B2954">
          <w:pPr>
            <w:pStyle w:val="Address"/>
            <w:framePr w:wrap="auto" w:vAnchor="margin" w:hAnchor="text" w:yAlign="inline"/>
            <w:suppressOverlap w:val="0"/>
          </w:pPr>
          <w:r w:rsidRPr="007B2C18">
            <w:t>1040 Brussels</w:t>
          </w:r>
          <w:r>
            <w:t xml:space="preserve">, </w:t>
          </w:r>
          <w:r w:rsidRPr="007B2C18">
            <w:t>Belgium</w:t>
          </w:r>
          <w:r w:rsidRPr="007B2C18">
            <w:tab/>
          </w:r>
        </w:p>
      </w:tc>
      <w:tc>
        <w:tcPr>
          <w:tcW w:w="3436" w:type="dxa"/>
        </w:tcPr>
        <w:p w14:paraId="168F9E22" w14:textId="77777777" w:rsidR="00296171" w:rsidRPr="00046D61" w:rsidRDefault="00D979D8" w:rsidP="00767646">
          <w:pPr>
            <w:pStyle w:val="Footer"/>
            <w:outlineLvl w:val="9"/>
          </w:pPr>
          <w:r>
            <w:t>Corporate identification</w:t>
          </w:r>
        </w:p>
        <w:p w14:paraId="1EB245C3" w14:textId="77777777" w:rsidR="00296171" w:rsidRPr="007B2C18" w:rsidRDefault="00D979D8" w:rsidP="00767646">
          <w:pPr>
            <w:outlineLvl w:val="9"/>
          </w:pPr>
          <w:r>
            <w:t>nu</w:t>
          </w:r>
          <w:r w:rsidR="00296171" w:rsidRPr="007B2C18">
            <w:t>mber 0848.934.496</w:t>
          </w:r>
        </w:p>
        <w:p w14:paraId="382B014A" w14:textId="77777777" w:rsidR="00296171" w:rsidRPr="007B2C18" w:rsidRDefault="00296171" w:rsidP="00767646">
          <w:pPr>
            <w:outlineLvl w:val="9"/>
          </w:pPr>
          <w:r w:rsidRPr="007B2C18">
            <w:t>(Register of Legal Entities Brussels)</w:t>
          </w:r>
        </w:p>
      </w:tc>
      <w:tc>
        <w:tcPr>
          <w:tcW w:w="74" w:type="dxa"/>
        </w:tcPr>
        <w:p w14:paraId="64DD373E" w14:textId="77777777" w:rsidR="00296171" w:rsidRPr="007B2C18" w:rsidRDefault="00296171" w:rsidP="00767646">
          <w:pPr>
            <w:outlineLvl w:val="9"/>
          </w:pPr>
        </w:p>
      </w:tc>
      <w:tc>
        <w:tcPr>
          <w:tcW w:w="142" w:type="dxa"/>
        </w:tcPr>
        <w:p w14:paraId="159D2AAE" w14:textId="77777777" w:rsidR="00296171" w:rsidRPr="007B2C18" w:rsidRDefault="00296171" w:rsidP="00767646">
          <w:pPr>
            <w:outlineLvl w:val="9"/>
          </w:pPr>
        </w:p>
      </w:tc>
      <w:tc>
        <w:tcPr>
          <w:tcW w:w="1167" w:type="dxa"/>
        </w:tcPr>
        <w:p w14:paraId="497B10EE" w14:textId="77777777" w:rsidR="00296171" w:rsidRPr="007B2C18" w:rsidRDefault="00296171" w:rsidP="00767646">
          <w:pPr>
            <w:outlineLvl w:val="9"/>
          </w:pPr>
        </w:p>
      </w:tc>
      <w:tc>
        <w:tcPr>
          <w:tcW w:w="1843" w:type="dxa"/>
        </w:tcPr>
        <w:p w14:paraId="11454B63" w14:textId="77777777" w:rsidR="00296171" w:rsidRPr="007B2C18" w:rsidRDefault="00296171" w:rsidP="00767646">
          <w:pPr>
            <w:outlineLvl w:val="9"/>
          </w:pPr>
          <w:r w:rsidRPr="007B2C18">
            <w:t>info@peppol.eu</w:t>
          </w:r>
        </w:p>
        <w:p w14:paraId="2A69CF09" w14:textId="77777777" w:rsidR="00296171" w:rsidRPr="007B2C18" w:rsidRDefault="00296171" w:rsidP="00767646">
          <w:pPr>
            <w:outlineLvl w:val="9"/>
          </w:pPr>
          <w:r w:rsidRPr="007B2C18">
            <w:t>www.peppol.eu</w:t>
          </w:r>
        </w:p>
      </w:tc>
      <w:tc>
        <w:tcPr>
          <w:tcW w:w="3828" w:type="dxa"/>
        </w:tcPr>
        <w:p w14:paraId="38385D58" w14:textId="77777777" w:rsidR="00296171" w:rsidRPr="007B2C18" w:rsidRDefault="00296171" w:rsidP="00767646">
          <w:pPr>
            <w:jc w:val="right"/>
            <w:outlineLvl w:val="9"/>
          </w:pPr>
        </w:p>
      </w:tc>
      <w:tc>
        <w:tcPr>
          <w:tcW w:w="1988" w:type="dxa"/>
        </w:tcPr>
        <w:p w14:paraId="6561C0F9" w14:textId="77777777" w:rsidR="00296171" w:rsidRPr="007B2C18" w:rsidRDefault="00296171" w:rsidP="00767646">
          <w:pPr>
            <w:outlineLvl w:val="9"/>
          </w:pPr>
        </w:p>
      </w:tc>
      <w:tc>
        <w:tcPr>
          <w:tcW w:w="2130" w:type="dxa"/>
        </w:tcPr>
        <w:p w14:paraId="7234FFA6" w14:textId="77777777" w:rsidR="00296171" w:rsidRPr="007B2C18" w:rsidRDefault="00296171" w:rsidP="00767646">
          <w:pPr>
            <w:outlineLvl w:val="9"/>
          </w:pPr>
        </w:p>
      </w:tc>
      <w:tc>
        <w:tcPr>
          <w:tcW w:w="121" w:type="dxa"/>
        </w:tcPr>
        <w:p w14:paraId="7640726C" w14:textId="77777777" w:rsidR="00296171" w:rsidRPr="007B2C18" w:rsidRDefault="00296171" w:rsidP="00767646">
          <w:pPr>
            <w:outlineLvl w:val="9"/>
          </w:pPr>
        </w:p>
      </w:tc>
      <w:tc>
        <w:tcPr>
          <w:tcW w:w="580" w:type="dxa"/>
        </w:tcPr>
        <w:p w14:paraId="21728176" w14:textId="77777777" w:rsidR="00296171" w:rsidRPr="007B2C18" w:rsidRDefault="00296171" w:rsidP="00767646">
          <w:pPr>
            <w:outlineLvl w:val="9"/>
          </w:pPr>
        </w:p>
      </w:tc>
      <w:tc>
        <w:tcPr>
          <w:tcW w:w="2414" w:type="dxa"/>
        </w:tcPr>
        <w:p w14:paraId="40DD58D2" w14:textId="77777777" w:rsidR="00296171" w:rsidRPr="007B2C18" w:rsidRDefault="00296171" w:rsidP="00767646">
          <w:pPr>
            <w:outlineLvl w:val="9"/>
          </w:pPr>
        </w:p>
      </w:tc>
    </w:tr>
  </w:tbl>
  <w:p w14:paraId="0B7BE3CC" w14:textId="77777777" w:rsidR="00296171" w:rsidRDefault="00296171" w:rsidP="00767646">
    <w:pPr>
      <w:pStyle w:val="Footer"/>
      <w:outlineLvl w:val="9"/>
    </w:pPr>
  </w:p>
  <w:p w14:paraId="2ADEBD43" w14:textId="77777777" w:rsidR="00AF61D5" w:rsidRPr="00296171" w:rsidRDefault="00AF61D5" w:rsidP="00767646">
    <w:pPr>
      <w:pStyle w:val="Footer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B008" w14:textId="77777777" w:rsidR="001952AE" w:rsidRDefault="001952AE" w:rsidP="007041A0">
      <w:r>
        <w:separator/>
      </w:r>
    </w:p>
  </w:footnote>
  <w:footnote w:type="continuationSeparator" w:id="0">
    <w:p w14:paraId="056A7B66" w14:textId="77777777" w:rsidR="001952AE" w:rsidRDefault="001952AE" w:rsidP="007041A0">
      <w:r>
        <w:continuationSeparator/>
      </w:r>
    </w:p>
  </w:footnote>
  <w:footnote w:id="1">
    <w:p w14:paraId="4C4576BF" w14:textId="77777777" w:rsidR="00897ACB" w:rsidRPr="00723DAD" w:rsidRDefault="00897ACB" w:rsidP="00897A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3DAD">
        <w:t>https://tools.ietf.org/html/rfc3798</w:t>
      </w:r>
    </w:p>
  </w:footnote>
  <w:footnote w:id="2">
    <w:p w14:paraId="1FE964DD" w14:textId="77777777" w:rsidR="00897ACB" w:rsidRPr="00723DAD" w:rsidRDefault="00897ACB" w:rsidP="00897ACB">
      <w:pPr>
        <w:pStyle w:val="FootnoteText"/>
      </w:pPr>
      <w:r>
        <w:rPr>
          <w:rStyle w:val="FootnoteReference"/>
        </w:rPr>
        <w:footnoteRef/>
      </w:r>
      <w:r w:rsidRPr="00723DAD">
        <w:t>http://www.etsi.org/deliver/etsi_ts/102600_102699/10264002/02.01.01_60/ts_10264002v020101p.pdf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5A7F" w14:textId="77777777" w:rsidR="00AF61D5" w:rsidRPr="00C70B9A" w:rsidRDefault="001B2954" w:rsidP="005F7265">
    <w:pPr>
      <w:pStyle w:val="PEPPOLTOP"/>
      <w:rPr>
        <w:lang w:val="en-US"/>
      </w:rPr>
    </w:pPr>
    <w:r w:rsidRPr="00D347AB">
      <w:rPr>
        <w:lang w:val="en-US" w:eastAsia="en-US"/>
      </w:rPr>
      <w:drawing>
        <wp:inline distT="0" distB="0" distL="0" distR="0" wp14:anchorId="1241544D" wp14:editId="6F4BBA2E">
          <wp:extent cx="1714500" cy="390525"/>
          <wp:effectExtent l="0" t="0" r="0" b="0"/>
          <wp:docPr id="60" name="Bilde 579" descr="PEPPOL_Logo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79" descr="PEPPOL_Logo_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1D5" w:rsidRPr="00C70B9A">
      <w:rPr>
        <w:lang w:val="en-US"/>
      </w:rPr>
      <w:tab/>
    </w:r>
    <w:r w:rsidR="00276322" w:rsidRPr="00C70B9A">
      <w:rPr>
        <w:lang w:val="en-US"/>
      </w:rPr>
      <w:t xml:space="preserve"> </w:t>
    </w:r>
    <w:r w:rsidR="00D926E3">
      <w:fldChar w:fldCharType="begin"/>
    </w:r>
    <w:r w:rsidR="00D926E3" w:rsidRPr="00C70B9A">
      <w:rPr>
        <w:lang w:val="en-US"/>
      </w:rPr>
      <w:instrText xml:space="preserve"> TITLE   \* MERGEFORMAT </w:instrText>
    </w:r>
    <w:r w:rsidR="00D926E3">
      <w:fldChar w:fldCharType="separate"/>
    </w:r>
    <w:r w:rsidR="00C70B9A" w:rsidRPr="00C70B9A">
      <w:rPr>
        <w:lang w:val="en-US"/>
      </w:rPr>
      <w:t>OpenPEPPOL Capacity Building Deliverable</w:t>
    </w:r>
    <w:r w:rsidR="00D926E3">
      <w:fldChar w:fldCharType="end"/>
    </w:r>
    <w:r w:rsidR="000731EA" w:rsidRPr="00C70B9A">
      <w:rPr>
        <w:lang w:val="en-US"/>
      </w:rPr>
      <w:t xml:space="preserve"> </w:t>
    </w:r>
    <w:r w:rsidR="005F7265" w:rsidRPr="00C70B9A">
      <w:rPr>
        <w:lang w:val="en-US"/>
      </w:rPr>
      <w:t xml:space="preserve"> Page </w:t>
    </w:r>
    <w:r w:rsidR="00CC654F">
      <w:fldChar w:fldCharType="begin"/>
    </w:r>
    <w:r w:rsidR="00CC654F" w:rsidRPr="00C70B9A">
      <w:rPr>
        <w:lang w:val="en-US"/>
      </w:rPr>
      <w:instrText xml:space="preserve"> PAGE  \* Arabic  \* MERGEFORMAT </w:instrText>
    </w:r>
    <w:r w:rsidR="00CC654F">
      <w:fldChar w:fldCharType="separate"/>
    </w:r>
    <w:r w:rsidR="00B734C3">
      <w:rPr>
        <w:lang w:val="en-US"/>
      </w:rPr>
      <w:t>1</w:t>
    </w:r>
    <w:r w:rsidR="00CC654F">
      <w:fldChar w:fldCharType="end"/>
    </w:r>
  </w:p>
  <w:p w14:paraId="2F0D952D" w14:textId="77777777" w:rsidR="00AF61D5" w:rsidRDefault="001952AE" w:rsidP="007041A0">
    <w:pPr>
      <w:pStyle w:val="Header"/>
    </w:pPr>
    <w:r>
      <w:pict w14:anchorId="473256FE">
        <v:rect id="_x0000_i1025" style="width:559.95pt;height:2pt" o:hralign="center" o:hrstd="t" o:hrnoshade="t" o:hr="t" fillcolor="#1f497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15A9" w14:textId="77777777" w:rsidR="00AF61D5" w:rsidRDefault="00AF61D5" w:rsidP="007041A0">
    <w:pPr>
      <w:pStyle w:val="Header"/>
    </w:pPr>
    <w:r>
      <w:tab/>
    </w:r>
  </w:p>
  <w:p w14:paraId="452CEC5B" w14:textId="77777777" w:rsidR="00AF61D5" w:rsidRDefault="00AF61D5" w:rsidP="007041A0">
    <w:pPr>
      <w:pStyle w:val="Header"/>
    </w:pPr>
  </w:p>
  <w:p w14:paraId="6774318D" w14:textId="77777777" w:rsidR="00AF61D5" w:rsidRDefault="00AF61D5" w:rsidP="00704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8"/>
    <w:multiLevelType w:val="hybridMultilevel"/>
    <w:tmpl w:val="66EA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3F7"/>
    <w:multiLevelType w:val="hybridMultilevel"/>
    <w:tmpl w:val="D73000D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277E59"/>
    <w:multiLevelType w:val="hybridMultilevel"/>
    <w:tmpl w:val="CD9434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9499E"/>
    <w:multiLevelType w:val="hybridMultilevel"/>
    <w:tmpl w:val="EC46E6E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C957F98"/>
    <w:multiLevelType w:val="multilevel"/>
    <w:tmpl w:val="5F720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352B24"/>
    <w:multiLevelType w:val="multilevel"/>
    <w:tmpl w:val="285A773A"/>
    <w:lvl w:ilvl="0">
      <w:start w:val="1"/>
      <w:numFmt w:val="decimal"/>
      <w:pStyle w:val="PEPPOLHead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EPPOLHeadding2"/>
      <w:lvlText w:val="%1.%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EPPOL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9E7152A"/>
    <w:multiLevelType w:val="hybridMultilevel"/>
    <w:tmpl w:val="33AA47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C55DC5"/>
    <w:multiLevelType w:val="hybridMultilevel"/>
    <w:tmpl w:val="4BDE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C8"/>
    <w:rsid w:val="000104C6"/>
    <w:rsid w:val="00013118"/>
    <w:rsid w:val="00014F7E"/>
    <w:rsid w:val="00046D61"/>
    <w:rsid w:val="00054F89"/>
    <w:rsid w:val="00057A4B"/>
    <w:rsid w:val="00057DFA"/>
    <w:rsid w:val="0006181E"/>
    <w:rsid w:val="00061854"/>
    <w:rsid w:val="000731EA"/>
    <w:rsid w:val="00081C5F"/>
    <w:rsid w:val="00082280"/>
    <w:rsid w:val="00095B4C"/>
    <w:rsid w:val="000A351D"/>
    <w:rsid w:val="000A3EC7"/>
    <w:rsid w:val="000B4D30"/>
    <w:rsid w:val="000D4AEB"/>
    <w:rsid w:val="000F5AAB"/>
    <w:rsid w:val="001037ED"/>
    <w:rsid w:val="00105FF3"/>
    <w:rsid w:val="001079D1"/>
    <w:rsid w:val="00117E5A"/>
    <w:rsid w:val="00121A85"/>
    <w:rsid w:val="0013031F"/>
    <w:rsid w:val="00133DAB"/>
    <w:rsid w:val="00140C3E"/>
    <w:rsid w:val="00140C79"/>
    <w:rsid w:val="00140E4D"/>
    <w:rsid w:val="00147CA8"/>
    <w:rsid w:val="0015394D"/>
    <w:rsid w:val="00166D2E"/>
    <w:rsid w:val="001743E3"/>
    <w:rsid w:val="00174891"/>
    <w:rsid w:val="00175C20"/>
    <w:rsid w:val="001762CB"/>
    <w:rsid w:val="00186359"/>
    <w:rsid w:val="00194665"/>
    <w:rsid w:val="001952AE"/>
    <w:rsid w:val="001A6E2C"/>
    <w:rsid w:val="001B1E5C"/>
    <w:rsid w:val="001B2954"/>
    <w:rsid w:val="001B6E9F"/>
    <w:rsid w:val="001C365C"/>
    <w:rsid w:val="001E0DCB"/>
    <w:rsid w:val="001E2B5B"/>
    <w:rsid w:val="001E7005"/>
    <w:rsid w:val="001E71D4"/>
    <w:rsid w:val="001F036B"/>
    <w:rsid w:val="001F1D78"/>
    <w:rsid w:val="002029B1"/>
    <w:rsid w:val="00204BF2"/>
    <w:rsid w:val="00226F84"/>
    <w:rsid w:val="002276C8"/>
    <w:rsid w:val="002410DD"/>
    <w:rsid w:val="00260C5E"/>
    <w:rsid w:val="00266FBB"/>
    <w:rsid w:val="00270CF9"/>
    <w:rsid w:val="0027158E"/>
    <w:rsid w:val="00272A2E"/>
    <w:rsid w:val="00276322"/>
    <w:rsid w:val="00286A7F"/>
    <w:rsid w:val="0029587F"/>
    <w:rsid w:val="00296171"/>
    <w:rsid w:val="002A20DE"/>
    <w:rsid w:val="002B2D18"/>
    <w:rsid w:val="002D1484"/>
    <w:rsid w:val="002D2B5C"/>
    <w:rsid w:val="002D6297"/>
    <w:rsid w:val="002E393F"/>
    <w:rsid w:val="002E3E0D"/>
    <w:rsid w:val="002F54C1"/>
    <w:rsid w:val="002F795F"/>
    <w:rsid w:val="00321842"/>
    <w:rsid w:val="00324B1F"/>
    <w:rsid w:val="0033591E"/>
    <w:rsid w:val="0034175E"/>
    <w:rsid w:val="0034605A"/>
    <w:rsid w:val="003462D3"/>
    <w:rsid w:val="00354FA0"/>
    <w:rsid w:val="00363F95"/>
    <w:rsid w:val="003723A2"/>
    <w:rsid w:val="00382C47"/>
    <w:rsid w:val="00392C8E"/>
    <w:rsid w:val="003A0969"/>
    <w:rsid w:val="003A2934"/>
    <w:rsid w:val="003A4923"/>
    <w:rsid w:val="003A6BED"/>
    <w:rsid w:val="003B3D4E"/>
    <w:rsid w:val="003C3076"/>
    <w:rsid w:val="003C6D76"/>
    <w:rsid w:val="003F16CC"/>
    <w:rsid w:val="003F3A36"/>
    <w:rsid w:val="003F5F8C"/>
    <w:rsid w:val="003F7FD0"/>
    <w:rsid w:val="004115DF"/>
    <w:rsid w:val="004148BD"/>
    <w:rsid w:val="00416F83"/>
    <w:rsid w:val="00425FE2"/>
    <w:rsid w:val="00430083"/>
    <w:rsid w:val="00431290"/>
    <w:rsid w:val="004314B7"/>
    <w:rsid w:val="00436323"/>
    <w:rsid w:val="00446B17"/>
    <w:rsid w:val="00455A25"/>
    <w:rsid w:val="004658E3"/>
    <w:rsid w:val="004675DC"/>
    <w:rsid w:val="004702D5"/>
    <w:rsid w:val="00476CD8"/>
    <w:rsid w:val="00487E8F"/>
    <w:rsid w:val="004961F2"/>
    <w:rsid w:val="004A1FF9"/>
    <w:rsid w:val="004A212A"/>
    <w:rsid w:val="004A2A96"/>
    <w:rsid w:val="004B74A9"/>
    <w:rsid w:val="004C5ACA"/>
    <w:rsid w:val="004C72EF"/>
    <w:rsid w:val="004D2008"/>
    <w:rsid w:val="004D3523"/>
    <w:rsid w:val="004D441B"/>
    <w:rsid w:val="004D4BF7"/>
    <w:rsid w:val="004E6898"/>
    <w:rsid w:val="00502C9E"/>
    <w:rsid w:val="0051711E"/>
    <w:rsid w:val="00523EE1"/>
    <w:rsid w:val="005263F2"/>
    <w:rsid w:val="00537CB9"/>
    <w:rsid w:val="00544FFA"/>
    <w:rsid w:val="00550F5B"/>
    <w:rsid w:val="00552B29"/>
    <w:rsid w:val="00564EF9"/>
    <w:rsid w:val="005740F1"/>
    <w:rsid w:val="00581CDC"/>
    <w:rsid w:val="00585A28"/>
    <w:rsid w:val="005967CC"/>
    <w:rsid w:val="005C60EF"/>
    <w:rsid w:val="005D643B"/>
    <w:rsid w:val="005E5CF9"/>
    <w:rsid w:val="005E5EE1"/>
    <w:rsid w:val="005F1DDB"/>
    <w:rsid w:val="005F7265"/>
    <w:rsid w:val="00607278"/>
    <w:rsid w:val="00617076"/>
    <w:rsid w:val="0061726A"/>
    <w:rsid w:val="006177B8"/>
    <w:rsid w:val="00625018"/>
    <w:rsid w:val="00636ED0"/>
    <w:rsid w:val="0063716D"/>
    <w:rsid w:val="00643BF6"/>
    <w:rsid w:val="00646831"/>
    <w:rsid w:val="00651429"/>
    <w:rsid w:val="00666EAA"/>
    <w:rsid w:val="00670431"/>
    <w:rsid w:val="00673660"/>
    <w:rsid w:val="00674904"/>
    <w:rsid w:val="00683065"/>
    <w:rsid w:val="006A1712"/>
    <w:rsid w:val="006A3062"/>
    <w:rsid w:val="006B431D"/>
    <w:rsid w:val="006B7274"/>
    <w:rsid w:val="006C3076"/>
    <w:rsid w:val="006D1906"/>
    <w:rsid w:val="006E3556"/>
    <w:rsid w:val="007029C7"/>
    <w:rsid w:val="007041A0"/>
    <w:rsid w:val="00722236"/>
    <w:rsid w:val="00730FE7"/>
    <w:rsid w:val="00732616"/>
    <w:rsid w:val="00745EC6"/>
    <w:rsid w:val="007466DB"/>
    <w:rsid w:val="00750EB3"/>
    <w:rsid w:val="0075182E"/>
    <w:rsid w:val="007576F1"/>
    <w:rsid w:val="00767646"/>
    <w:rsid w:val="00773571"/>
    <w:rsid w:val="00784020"/>
    <w:rsid w:val="0079123C"/>
    <w:rsid w:val="00793CD8"/>
    <w:rsid w:val="00793E67"/>
    <w:rsid w:val="007B1B6F"/>
    <w:rsid w:val="007B2C18"/>
    <w:rsid w:val="007C057A"/>
    <w:rsid w:val="007C3A2C"/>
    <w:rsid w:val="007D6873"/>
    <w:rsid w:val="007E4F2A"/>
    <w:rsid w:val="008118A9"/>
    <w:rsid w:val="0081390C"/>
    <w:rsid w:val="008307AA"/>
    <w:rsid w:val="008312BD"/>
    <w:rsid w:val="00831C0B"/>
    <w:rsid w:val="0083675F"/>
    <w:rsid w:val="008454AB"/>
    <w:rsid w:val="00847AB8"/>
    <w:rsid w:val="008504AF"/>
    <w:rsid w:val="0085408F"/>
    <w:rsid w:val="008671AE"/>
    <w:rsid w:val="00867592"/>
    <w:rsid w:val="008679E7"/>
    <w:rsid w:val="008758E5"/>
    <w:rsid w:val="008901F8"/>
    <w:rsid w:val="00896A80"/>
    <w:rsid w:val="00897ACB"/>
    <w:rsid w:val="008A4634"/>
    <w:rsid w:val="008B3EE6"/>
    <w:rsid w:val="008C18AA"/>
    <w:rsid w:val="008C4628"/>
    <w:rsid w:val="008C4EAA"/>
    <w:rsid w:val="008E0E62"/>
    <w:rsid w:val="008E6253"/>
    <w:rsid w:val="008F092B"/>
    <w:rsid w:val="008F53E9"/>
    <w:rsid w:val="008F67E4"/>
    <w:rsid w:val="00936822"/>
    <w:rsid w:val="00941A77"/>
    <w:rsid w:val="00957622"/>
    <w:rsid w:val="00960B61"/>
    <w:rsid w:val="009651D6"/>
    <w:rsid w:val="00965A50"/>
    <w:rsid w:val="00965DBF"/>
    <w:rsid w:val="009842C1"/>
    <w:rsid w:val="00995E1B"/>
    <w:rsid w:val="009A3BD5"/>
    <w:rsid w:val="009B3A3A"/>
    <w:rsid w:val="009B7E01"/>
    <w:rsid w:val="009B7F91"/>
    <w:rsid w:val="009C21E4"/>
    <w:rsid w:val="009C30A1"/>
    <w:rsid w:val="009C6A41"/>
    <w:rsid w:val="009F5F3F"/>
    <w:rsid w:val="00A04C53"/>
    <w:rsid w:val="00A10474"/>
    <w:rsid w:val="00A260ED"/>
    <w:rsid w:val="00A31637"/>
    <w:rsid w:val="00A31844"/>
    <w:rsid w:val="00A31B9D"/>
    <w:rsid w:val="00A347BA"/>
    <w:rsid w:val="00A56939"/>
    <w:rsid w:val="00A858E8"/>
    <w:rsid w:val="00A87993"/>
    <w:rsid w:val="00A9246C"/>
    <w:rsid w:val="00A92960"/>
    <w:rsid w:val="00A93A1E"/>
    <w:rsid w:val="00A95C36"/>
    <w:rsid w:val="00AA1284"/>
    <w:rsid w:val="00AB5189"/>
    <w:rsid w:val="00AC0BEF"/>
    <w:rsid w:val="00AC35D7"/>
    <w:rsid w:val="00AD36B7"/>
    <w:rsid w:val="00AD674F"/>
    <w:rsid w:val="00AD6A39"/>
    <w:rsid w:val="00AE0451"/>
    <w:rsid w:val="00AF2805"/>
    <w:rsid w:val="00AF4D8A"/>
    <w:rsid w:val="00AF61D5"/>
    <w:rsid w:val="00B013B2"/>
    <w:rsid w:val="00B03838"/>
    <w:rsid w:val="00B03B6D"/>
    <w:rsid w:val="00B2088D"/>
    <w:rsid w:val="00B317A1"/>
    <w:rsid w:val="00B35DC6"/>
    <w:rsid w:val="00B43781"/>
    <w:rsid w:val="00B44CDF"/>
    <w:rsid w:val="00B51DD3"/>
    <w:rsid w:val="00B63012"/>
    <w:rsid w:val="00B644B8"/>
    <w:rsid w:val="00B659B9"/>
    <w:rsid w:val="00B65DBB"/>
    <w:rsid w:val="00B72D3F"/>
    <w:rsid w:val="00B734C3"/>
    <w:rsid w:val="00B81887"/>
    <w:rsid w:val="00B86B2A"/>
    <w:rsid w:val="00B87CFA"/>
    <w:rsid w:val="00B94257"/>
    <w:rsid w:val="00B95E5D"/>
    <w:rsid w:val="00BB1780"/>
    <w:rsid w:val="00BC6088"/>
    <w:rsid w:val="00BD395B"/>
    <w:rsid w:val="00BE1A79"/>
    <w:rsid w:val="00BE7662"/>
    <w:rsid w:val="00C0311A"/>
    <w:rsid w:val="00C058CC"/>
    <w:rsid w:val="00C06D86"/>
    <w:rsid w:val="00C125A9"/>
    <w:rsid w:val="00C17758"/>
    <w:rsid w:val="00C27184"/>
    <w:rsid w:val="00C32175"/>
    <w:rsid w:val="00C33D2B"/>
    <w:rsid w:val="00C35476"/>
    <w:rsid w:val="00C35516"/>
    <w:rsid w:val="00C45F9D"/>
    <w:rsid w:val="00C57042"/>
    <w:rsid w:val="00C60E9E"/>
    <w:rsid w:val="00C629C9"/>
    <w:rsid w:val="00C70B9A"/>
    <w:rsid w:val="00C71B15"/>
    <w:rsid w:val="00C8233F"/>
    <w:rsid w:val="00C855E8"/>
    <w:rsid w:val="00C97275"/>
    <w:rsid w:val="00C97E2F"/>
    <w:rsid w:val="00CA01D5"/>
    <w:rsid w:val="00CB29B4"/>
    <w:rsid w:val="00CB2C26"/>
    <w:rsid w:val="00CB6E23"/>
    <w:rsid w:val="00CC55A5"/>
    <w:rsid w:val="00CC654F"/>
    <w:rsid w:val="00CC79AE"/>
    <w:rsid w:val="00CD14EE"/>
    <w:rsid w:val="00D01F99"/>
    <w:rsid w:val="00D347AB"/>
    <w:rsid w:val="00D374FD"/>
    <w:rsid w:val="00D37CE2"/>
    <w:rsid w:val="00D4415A"/>
    <w:rsid w:val="00D50921"/>
    <w:rsid w:val="00D55393"/>
    <w:rsid w:val="00D64856"/>
    <w:rsid w:val="00D66A31"/>
    <w:rsid w:val="00D713BD"/>
    <w:rsid w:val="00D7599E"/>
    <w:rsid w:val="00D926E3"/>
    <w:rsid w:val="00D92A48"/>
    <w:rsid w:val="00D979D8"/>
    <w:rsid w:val="00DA42E5"/>
    <w:rsid w:val="00DB537D"/>
    <w:rsid w:val="00DC385C"/>
    <w:rsid w:val="00DD5861"/>
    <w:rsid w:val="00DE0A4F"/>
    <w:rsid w:val="00DF0625"/>
    <w:rsid w:val="00DF32B7"/>
    <w:rsid w:val="00DF6E8B"/>
    <w:rsid w:val="00E03028"/>
    <w:rsid w:val="00E04B07"/>
    <w:rsid w:val="00E04B35"/>
    <w:rsid w:val="00E05FC3"/>
    <w:rsid w:val="00E272BA"/>
    <w:rsid w:val="00E30828"/>
    <w:rsid w:val="00E309EC"/>
    <w:rsid w:val="00E40BF0"/>
    <w:rsid w:val="00E410BB"/>
    <w:rsid w:val="00E46F0F"/>
    <w:rsid w:val="00E66414"/>
    <w:rsid w:val="00E83589"/>
    <w:rsid w:val="00E83E1B"/>
    <w:rsid w:val="00E92EDD"/>
    <w:rsid w:val="00E958D5"/>
    <w:rsid w:val="00EA2061"/>
    <w:rsid w:val="00EA5E4A"/>
    <w:rsid w:val="00EB54A6"/>
    <w:rsid w:val="00EB79DF"/>
    <w:rsid w:val="00EC19BD"/>
    <w:rsid w:val="00EC2224"/>
    <w:rsid w:val="00EC37B4"/>
    <w:rsid w:val="00EC3F71"/>
    <w:rsid w:val="00EC6855"/>
    <w:rsid w:val="00EC6CDB"/>
    <w:rsid w:val="00EC7D12"/>
    <w:rsid w:val="00EE3412"/>
    <w:rsid w:val="00F00D98"/>
    <w:rsid w:val="00F061A2"/>
    <w:rsid w:val="00F1084B"/>
    <w:rsid w:val="00F20C90"/>
    <w:rsid w:val="00F30CA3"/>
    <w:rsid w:val="00F3313C"/>
    <w:rsid w:val="00F46A76"/>
    <w:rsid w:val="00F569C3"/>
    <w:rsid w:val="00F650A0"/>
    <w:rsid w:val="00F7287E"/>
    <w:rsid w:val="00F7301D"/>
    <w:rsid w:val="00F810BD"/>
    <w:rsid w:val="00F92A13"/>
    <w:rsid w:val="00FA0DB7"/>
    <w:rsid w:val="00FB7368"/>
    <w:rsid w:val="00FC4B15"/>
    <w:rsid w:val="00FD058B"/>
    <w:rsid w:val="00FD2D4D"/>
    <w:rsid w:val="00FD71E6"/>
    <w:rsid w:val="00FD733D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044A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A0"/>
    <w:pPr>
      <w:keepNext/>
      <w:keepLines/>
      <w:ind w:right="62"/>
      <w:outlineLvl w:val="0"/>
    </w:pPr>
    <w:rPr>
      <w:rFonts w:eastAsia="Times New Roman" w:cs="Calibri"/>
      <w:lang w:val="en-US" w:eastAsia="en-US"/>
    </w:rPr>
  </w:style>
  <w:style w:type="paragraph" w:styleId="Heading1">
    <w:name w:val="heading 1"/>
    <w:basedOn w:val="PEPPOLNormal"/>
    <w:next w:val="PEPPOLNormal"/>
    <w:link w:val="Heading1Char"/>
    <w:uiPriority w:val="99"/>
    <w:qFormat/>
    <w:rsid w:val="004314B7"/>
    <w:pPr>
      <w:spacing w:before="200"/>
      <w:outlineLvl w:val="0"/>
    </w:pPr>
    <w:rPr>
      <w:rFonts w:ascii="Cambria" w:eastAsia="Times New Roman" w:hAnsi="Cambria" w:cs="Cambria"/>
      <w:b/>
      <w:bCs/>
      <w:color w:val="253356" w:themeColor="accent1" w:themeShade="80"/>
      <w:sz w:val="32"/>
      <w:szCs w:val="28"/>
    </w:rPr>
  </w:style>
  <w:style w:type="paragraph" w:styleId="Heading2">
    <w:name w:val="heading 2"/>
    <w:basedOn w:val="PEPPOLNormal"/>
    <w:next w:val="PEPPOLNormal"/>
    <w:link w:val="Heading2Char"/>
    <w:uiPriority w:val="99"/>
    <w:qFormat/>
    <w:rsid w:val="004A2A96"/>
    <w:pPr>
      <w:spacing w:before="200"/>
      <w:outlineLvl w:val="1"/>
    </w:pPr>
    <w:rPr>
      <w:rFonts w:ascii="Cambria" w:eastAsia="Times New Roman" w:hAnsi="Cambria" w:cs="Cambria"/>
      <w:b/>
      <w:bCs/>
      <w:color w:val="253356" w:themeColor="accent1" w:themeShade="80"/>
      <w:sz w:val="26"/>
      <w:szCs w:val="26"/>
    </w:rPr>
  </w:style>
  <w:style w:type="paragraph" w:styleId="Heading3">
    <w:name w:val="heading 3"/>
    <w:basedOn w:val="PEPPOLNormal"/>
    <w:next w:val="PEPPOLNormal"/>
    <w:link w:val="Heading3Char"/>
    <w:uiPriority w:val="99"/>
    <w:qFormat/>
    <w:rsid w:val="00793E67"/>
    <w:pPr>
      <w:spacing w:before="200"/>
      <w:outlineLvl w:val="2"/>
    </w:pPr>
    <w:rPr>
      <w:rFonts w:ascii="Cambria" w:eastAsia="Times New Roman" w:hAnsi="Cambria" w:cs="Cambria"/>
      <w:b/>
      <w:bCs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954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314B7"/>
    <w:rPr>
      <w:rFonts w:ascii="Cambria" w:eastAsia="Times New Roman" w:hAnsi="Cambria" w:cs="Cambria"/>
      <w:b/>
      <w:bCs/>
      <w:color w:val="253356" w:themeColor="accent1" w:themeShade="80"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rsid w:val="004A2A96"/>
    <w:rPr>
      <w:rFonts w:ascii="Cambria" w:eastAsia="Times New Roman" w:hAnsi="Cambria" w:cs="Cambria"/>
      <w:b/>
      <w:bCs/>
      <w:color w:val="253356" w:themeColor="accent1" w:themeShade="80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rsid w:val="00A87993"/>
    <w:rPr>
      <w:rFonts w:ascii="Cambria" w:eastAsia="Times New Roman" w:hAnsi="Cambria" w:cs="Cambria"/>
      <w:b/>
      <w:bCs/>
      <w:color w:val="253356" w:themeColor="accent1" w:themeShade="80"/>
      <w:lang w:val="en-US" w:eastAsia="en-US"/>
    </w:rPr>
  </w:style>
  <w:style w:type="paragraph" w:styleId="ListParagraph">
    <w:name w:val="List Paragraph"/>
    <w:basedOn w:val="Normal"/>
    <w:uiPriority w:val="34"/>
    <w:qFormat/>
    <w:rsid w:val="006468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57A4B"/>
  </w:style>
  <w:style w:type="character" w:customStyle="1" w:styleId="EndnoteTextChar">
    <w:name w:val="Endnote Text Char"/>
    <w:link w:val="EndnoteText"/>
    <w:uiPriority w:val="99"/>
    <w:semiHidden/>
    <w:rsid w:val="00057A4B"/>
    <w:rPr>
      <w:sz w:val="20"/>
      <w:szCs w:val="20"/>
    </w:rPr>
  </w:style>
  <w:style w:type="character" w:styleId="EndnoteReference">
    <w:name w:val="endnote reference"/>
    <w:uiPriority w:val="99"/>
    <w:semiHidden/>
    <w:rsid w:val="00057A4B"/>
    <w:rPr>
      <w:vertAlign w:val="superscript"/>
    </w:rPr>
  </w:style>
  <w:style w:type="paragraph" w:customStyle="1" w:styleId="TableContents">
    <w:name w:val="Table Contents"/>
    <w:basedOn w:val="Normal"/>
    <w:uiPriority w:val="99"/>
    <w:rsid w:val="006D1906"/>
    <w:pPr>
      <w:suppressLineNumbers/>
      <w:suppressAutoHyphens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59"/>
    <w:rsid w:val="001F03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CC"/>
  </w:style>
  <w:style w:type="paragraph" w:styleId="Footer">
    <w:name w:val="footer"/>
    <w:basedOn w:val="Normal"/>
    <w:link w:val="Foot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CC"/>
  </w:style>
  <w:style w:type="paragraph" w:styleId="NormalWeb">
    <w:name w:val="Normal (Web)"/>
    <w:basedOn w:val="Normal"/>
    <w:uiPriority w:val="99"/>
    <w:semiHidden/>
    <w:rsid w:val="00DC3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Ledetekst">
    <w:name w:val="Ledetekst"/>
    <w:uiPriority w:val="99"/>
    <w:rsid w:val="00651429"/>
    <w:rPr>
      <w:rFonts w:ascii="Arial" w:hAnsi="Arial" w:cs="Arial"/>
      <w:sz w:val="16"/>
      <w:szCs w:val="16"/>
      <w:lang w:val="en-GB" w:eastAsia="x-none"/>
    </w:rPr>
  </w:style>
  <w:style w:type="paragraph" w:customStyle="1" w:styleId="Adressefelt">
    <w:name w:val="Adressefelt"/>
    <w:basedOn w:val="Normal"/>
    <w:uiPriority w:val="99"/>
    <w:rsid w:val="00651429"/>
    <w:rPr>
      <w:rFonts w:ascii="Arial" w:hAnsi="Arial" w:cs="Arial"/>
      <w:lang w:val="en-GB"/>
    </w:rPr>
  </w:style>
  <w:style w:type="paragraph" w:customStyle="1" w:styleId="Signatur">
    <w:name w:val="Signatur"/>
    <w:basedOn w:val="Normal"/>
    <w:uiPriority w:val="99"/>
    <w:rsid w:val="00651429"/>
    <w:pPr>
      <w:tabs>
        <w:tab w:val="left" w:pos="4820"/>
      </w:tabs>
    </w:pPr>
    <w:rPr>
      <w:rFonts w:ascii="Arial" w:hAnsi="Arial" w:cs="Arial"/>
      <w:lang w:val="en-GB"/>
    </w:rPr>
  </w:style>
  <w:style w:type="character" w:styleId="CommentReference">
    <w:name w:val="annotation reference"/>
    <w:uiPriority w:val="99"/>
    <w:semiHidden/>
    <w:rsid w:val="001E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0DCB"/>
  </w:style>
  <w:style w:type="character" w:customStyle="1" w:styleId="CommentTextChar">
    <w:name w:val="Comment Text Char"/>
    <w:link w:val="CommentText"/>
    <w:uiPriority w:val="99"/>
    <w:semiHidden/>
    <w:rsid w:val="001E0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DCB"/>
    <w:rPr>
      <w:b/>
      <w:bCs/>
      <w:sz w:val="20"/>
      <w:szCs w:val="20"/>
    </w:rPr>
  </w:style>
  <w:style w:type="character" w:styleId="Hyperlink">
    <w:name w:val="Hyperlink"/>
    <w:uiPriority w:val="99"/>
    <w:rsid w:val="00226F84"/>
    <w:rPr>
      <w:color w:val="0000FF"/>
      <w:u w:val="single"/>
    </w:rPr>
  </w:style>
  <w:style w:type="paragraph" w:customStyle="1" w:styleId="Address">
    <w:name w:val="Address"/>
    <w:link w:val="AddressTegn"/>
    <w:qFormat/>
    <w:rsid w:val="001B2954"/>
    <w:pPr>
      <w:framePr w:wrap="around" w:vAnchor="page" w:hAnchor="margin" w:y="15480"/>
      <w:ind w:left="993"/>
      <w:suppressOverlap/>
    </w:pPr>
    <w:rPr>
      <w:rFonts w:eastAsia="Times New Roman" w:cs="Calibri"/>
      <w:noProof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B295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ddressTegn">
    <w:name w:val="Address Tegn"/>
    <w:basedOn w:val="DefaultParagraphFont"/>
    <w:link w:val="Address"/>
    <w:rsid w:val="001B2954"/>
    <w:rPr>
      <w:rFonts w:eastAsia="Times New Roman" w:cs="Calibri"/>
      <w:noProof/>
      <w:lang w:val="en-US" w:eastAsia="en-US"/>
    </w:rPr>
  </w:style>
  <w:style w:type="paragraph" w:customStyle="1" w:styleId="PEPPOLNormal">
    <w:name w:val="PEPPOL_Normal"/>
    <w:link w:val="PEPPOLNormalTegn"/>
    <w:qFormat/>
    <w:rsid w:val="00C629C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eastAsiaTheme="minorHAnsi" w:cs="Calibri"/>
      <w:sz w:val="22"/>
      <w:lang w:val="en-GB" w:eastAsia="en-US"/>
    </w:rPr>
  </w:style>
  <w:style w:type="paragraph" w:customStyle="1" w:styleId="PEPPOLTOP">
    <w:name w:val="PEPPOL_TOP"/>
    <w:link w:val="PEPPOLTOPTegn"/>
    <w:qFormat/>
    <w:rsid w:val="000731EA"/>
    <w:pPr>
      <w:tabs>
        <w:tab w:val="right" w:pos="10490"/>
      </w:tabs>
    </w:pPr>
    <w:rPr>
      <w:rFonts w:eastAsia="Times New Roman" w:cs="Calibri"/>
      <w:noProof/>
    </w:rPr>
  </w:style>
  <w:style w:type="character" w:customStyle="1" w:styleId="PEPPOLNormalTegn">
    <w:name w:val="PEPPOL_Normal Tegn"/>
    <w:basedOn w:val="DefaultParagraphFont"/>
    <w:link w:val="PEPPOLNormal"/>
    <w:rsid w:val="00C629C9"/>
    <w:rPr>
      <w:rFonts w:eastAsiaTheme="minorHAnsi" w:cs="Calibri"/>
      <w:sz w:val="22"/>
      <w:lang w:val="en-GB" w:eastAsia="en-US"/>
    </w:rPr>
  </w:style>
  <w:style w:type="paragraph" w:styleId="NoSpacing">
    <w:name w:val="No Spacing"/>
    <w:link w:val="NoSpacingChar"/>
    <w:uiPriority w:val="1"/>
    <w:qFormat/>
    <w:rsid w:val="00784020"/>
    <w:rPr>
      <w:rFonts w:asciiTheme="minorHAnsi" w:eastAsiaTheme="minorEastAsia" w:hAnsiTheme="minorHAnsi" w:cstheme="minorBidi"/>
      <w:sz w:val="22"/>
      <w:szCs w:val="22"/>
    </w:rPr>
  </w:style>
  <w:style w:type="character" w:customStyle="1" w:styleId="PEPPOLTOPTegn">
    <w:name w:val="PEPPOL_TOP Tegn"/>
    <w:basedOn w:val="HeaderChar"/>
    <w:link w:val="PEPPOLTOP"/>
    <w:rsid w:val="000731EA"/>
    <w:rPr>
      <w:rFonts w:eastAsia="Times New Roman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84020"/>
    <w:rPr>
      <w:rFonts w:asciiTheme="minorHAnsi" w:eastAsiaTheme="minorEastAsia" w:hAnsiTheme="minorHAnsi" w:cstheme="minorBidi"/>
      <w:sz w:val="22"/>
      <w:szCs w:val="22"/>
    </w:rPr>
  </w:style>
  <w:style w:type="paragraph" w:customStyle="1" w:styleId="PEPPOLTITTLE">
    <w:name w:val="PEPPOL TITTLE"/>
    <w:basedOn w:val="Normal"/>
    <w:next w:val="PEPPOLSUBTITLE"/>
    <w:link w:val="PEPPOLTITTLETegn"/>
    <w:qFormat/>
    <w:rsid w:val="005C60EF"/>
    <w:pPr>
      <w:keepNext w:val="0"/>
      <w:keepLines w:val="0"/>
      <w:spacing w:after="240"/>
      <w:ind w:right="0"/>
      <w:jc w:val="center"/>
      <w:outlineLvl w:val="9"/>
    </w:pPr>
    <w:rPr>
      <w:rFonts w:eastAsiaTheme="majorEastAsia" w:cstheme="majorBidi"/>
      <w:color w:val="253356" w:themeColor="accent1" w:themeShade="80"/>
      <w:sz w:val="72"/>
      <w:szCs w:val="72"/>
      <w:lang w:eastAsia="nb-NO"/>
    </w:rPr>
  </w:style>
  <w:style w:type="paragraph" w:customStyle="1" w:styleId="PEPPOLSUBTITLE">
    <w:name w:val="PEPPOL_SUBTITLE"/>
    <w:basedOn w:val="NoSpacing"/>
    <w:link w:val="PEPPOLSUBTITLETegn"/>
    <w:autoRedefine/>
    <w:qFormat/>
    <w:rsid w:val="00272A2E"/>
    <w:pPr>
      <w:jc w:val="center"/>
    </w:pPr>
    <w:rPr>
      <w:color w:val="253356" w:themeColor="accent1" w:themeShade="80"/>
      <w:sz w:val="36"/>
      <w:szCs w:val="28"/>
      <w:lang w:val="en-US"/>
    </w:rPr>
  </w:style>
  <w:style w:type="character" w:customStyle="1" w:styleId="PEPPOLTITTLETegn">
    <w:name w:val="PEPPOL TITTLE Tegn"/>
    <w:basedOn w:val="DefaultParagraphFont"/>
    <w:link w:val="PEPPOLTITTLE"/>
    <w:rsid w:val="005C60EF"/>
    <w:rPr>
      <w:rFonts w:eastAsiaTheme="majorEastAsia" w:cstheme="majorBidi"/>
      <w:color w:val="253356" w:themeColor="accent1" w:themeShade="80"/>
      <w:sz w:val="72"/>
      <w:szCs w:val="72"/>
      <w:lang w:val="en-US"/>
    </w:rPr>
  </w:style>
  <w:style w:type="paragraph" w:styleId="Title">
    <w:name w:val="Title"/>
    <w:basedOn w:val="PEPPOLTITTLE"/>
    <w:next w:val="Normal"/>
    <w:link w:val="TitleChar"/>
    <w:uiPriority w:val="10"/>
    <w:qFormat/>
    <w:rsid w:val="00831C0B"/>
  </w:style>
  <w:style w:type="character" w:customStyle="1" w:styleId="PEPPOLSUBTITLETegn">
    <w:name w:val="PEPPOL_SUBTITLE Tegn"/>
    <w:basedOn w:val="NoSpacingChar"/>
    <w:link w:val="PEPPOLSUBTITLE"/>
    <w:rsid w:val="00272A2E"/>
    <w:rPr>
      <w:rFonts w:asciiTheme="minorHAnsi" w:eastAsiaTheme="minorEastAsia" w:hAnsiTheme="minorHAnsi" w:cstheme="minorBidi"/>
      <w:color w:val="253356" w:themeColor="accent1" w:themeShade="80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1C0B"/>
    <w:rPr>
      <w:rFonts w:eastAsiaTheme="majorEastAsia" w:cstheme="majorBidi"/>
      <w:color w:val="253356" w:themeColor="accent1" w:themeShade="80"/>
      <w:sz w:val="96"/>
      <w:szCs w:val="72"/>
    </w:rPr>
  </w:style>
  <w:style w:type="paragraph" w:customStyle="1" w:styleId="Default">
    <w:name w:val="Default"/>
    <w:rsid w:val="009C2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455A25"/>
  </w:style>
  <w:style w:type="paragraph" w:styleId="TOCHeading">
    <w:name w:val="TOC Heading"/>
    <w:basedOn w:val="Heading1"/>
    <w:next w:val="Normal"/>
    <w:uiPriority w:val="39"/>
    <w:unhideWhenUsed/>
    <w:qFormat/>
    <w:rsid w:val="00276322"/>
    <w:pPr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Cs w:val="32"/>
      <w:lang w:val="nb-NO" w:eastAsia="nb-NO"/>
    </w:rPr>
  </w:style>
  <w:style w:type="paragraph" w:styleId="TOC1">
    <w:name w:val="toc 1"/>
    <w:basedOn w:val="PEPPOLNormal"/>
    <w:next w:val="PEPPOLNormal"/>
    <w:autoRedefine/>
    <w:uiPriority w:val="39"/>
    <w:unhideWhenUsed/>
    <w:rsid w:val="00095B4C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5954"/>
        <w:tab w:val="clear" w:pos="7088"/>
        <w:tab w:val="clear" w:pos="8222"/>
        <w:tab w:val="right" w:leader="dot" w:pos="1062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2934"/>
    <w:pPr>
      <w:tabs>
        <w:tab w:val="left" w:pos="1100"/>
        <w:tab w:val="left" w:pos="1540"/>
        <w:tab w:val="right" w:leader="dot" w:pos="10621"/>
      </w:tabs>
      <w:spacing w:after="100"/>
      <w:ind w:left="709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A2934"/>
    <w:pPr>
      <w:tabs>
        <w:tab w:val="left" w:pos="1418"/>
        <w:tab w:val="left" w:pos="1952"/>
        <w:tab w:val="right" w:leader="dot" w:pos="10621"/>
      </w:tabs>
      <w:spacing w:after="100"/>
      <w:ind w:left="851"/>
    </w:pPr>
  </w:style>
  <w:style w:type="paragraph" w:customStyle="1" w:styleId="PEPPOLTABELLER">
    <w:name w:val="PEPPOL _ TABELLER"/>
    <w:basedOn w:val="PEPPOLNormal"/>
    <w:link w:val="PEPPOLTABELLERTegn"/>
    <w:qFormat/>
    <w:rsid w:val="00C35476"/>
    <w:pPr>
      <w:spacing w:before="40" w:after="40"/>
      <w:ind w:left="96" w:right="130"/>
    </w:pPr>
    <w:rPr>
      <w:rFonts w:asciiTheme="minorHAnsi" w:hAnsiTheme="minorHAnsi"/>
      <w:szCs w:val="22"/>
    </w:rPr>
  </w:style>
  <w:style w:type="character" w:customStyle="1" w:styleId="PEPPOLTABELLERTegn">
    <w:name w:val="PEPPOL _ TABELLER Tegn"/>
    <w:basedOn w:val="PEPPOLNormalTegn"/>
    <w:link w:val="PEPPOLTABELLER"/>
    <w:rsid w:val="00C35476"/>
    <w:rPr>
      <w:rFonts w:asciiTheme="minorHAnsi" w:eastAsiaTheme="minorHAnsi" w:hAnsiTheme="minorHAnsi" w:cs="Calibri"/>
      <w:sz w:val="22"/>
      <w:szCs w:val="22"/>
      <w:lang w:val="en-GB" w:eastAsia="en-US"/>
    </w:rPr>
  </w:style>
  <w:style w:type="paragraph" w:customStyle="1" w:styleId="PEPPOLHeadding1">
    <w:name w:val="PEPPOL_Headding_1"/>
    <w:basedOn w:val="PEPPOLNormal"/>
    <w:next w:val="PEPPOLNormal"/>
    <w:link w:val="PEPPOLHeadding1Tegn"/>
    <w:qFormat/>
    <w:rsid w:val="00C629C9"/>
    <w:pPr>
      <w:numPr>
        <w:numId w:val="2"/>
      </w:numPr>
      <w:spacing w:before="200"/>
      <w:ind w:left="992" w:hanging="425"/>
      <w:outlineLvl w:val="0"/>
    </w:pPr>
    <w:rPr>
      <w:b/>
      <w:color w:val="253356"/>
      <w:sz w:val="32"/>
    </w:rPr>
  </w:style>
  <w:style w:type="paragraph" w:customStyle="1" w:styleId="PEPPOLHeadding2">
    <w:name w:val="PEPPOL_Headding_2"/>
    <w:basedOn w:val="PEPPOLHeadding1"/>
    <w:next w:val="PEPPOLNormal"/>
    <w:link w:val="PEPPOLHeadding2Tegn"/>
    <w:qFormat/>
    <w:rsid w:val="00C629C9"/>
    <w:pPr>
      <w:numPr>
        <w:ilvl w:val="1"/>
      </w:numPr>
      <w:tabs>
        <w:tab w:val="left" w:pos="993"/>
      </w:tabs>
      <w:suppressAutoHyphens/>
      <w:ind w:left="998" w:hanging="431"/>
      <w:outlineLvl w:val="1"/>
    </w:pPr>
    <w:rPr>
      <w:sz w:val="28"/>
    </w:rPr>
  </w:style>
  <w:style w:type="character" w:customStyle="1" w:styleId="PEPPOLHeadding1Tegn">
    <w:name w:val="PEPPOL_Headding_1 Tegn"/>
    <w:basedOn w:val="PEPPOLNormalTegn"/>
    <w:link w:val="PEPPOLHeadding1"/>
    <w:rsid w:val="00C629C9"/>
    <w:rPr>
      <w:rFonts w:eastAsiaTheme="minorHAnsi" w:cs="Calibri"/>
      <w:b/>
      <w:color w:val="253356"/>
      <w:sz w:val="32"/>
      <w:lang w:val="en-GB" w:eastAsia="en-US"/>
    </w:rPr>
  </w:style>
  <w:style w:type="paragraph" w:customStyle="1" w:styleId="PEPPOLHeading3">
    <w:name w:val="PEPPOL_Heading_3"/>
    <w:basedOn w:val="PEPPOLHeadding2"/>
    <w:next w:val="PEPPOLNormal"/>
    <w:link w:val="PEPPOLHeading3Tegn"/>
    <w:qFormat/>
    <w:rsid w:val="00C629C9"/>
    <w:pPr>
      <w:numPr>
        <w:ilvl w:val="2"/>
      </w:numPr>
      <w:tabs>
        <w:tab w:val="clear" w:pos="993"/>
        <w:tab w:val="left" w:pos="1134"/>
      </w:tabs>
      <w:ind w:left="1072" w:hanging="505"/>
      <w:outlineLvl w:val="2"/>
    </w:pPr>
    <w:rPr>
      <w:sz w:val="24"/>
    </w:rPr>
  </w:style>
  <w:style w:type="character" w:customStyle="1" w:styleId="PEPPOLHeadding2Tegn">
    <w:name w:val="PEPPOL_Headding_2 Tegn"/>
    <w:basedOn w:val="PEPPOLNormalTegn"/>
    <w:link w:val="PEPPOLHeadding2"/>
    <w:rsid w:val="00C629C9"/>
    <w:rPr>
      <w:rFonts w:eastAsiaTheme="minorHAnsi" w:cs="Calibri"/>
      <w:b/>
      <w:color w:val="253356"/>
      <w:sz w:val="28"/>
      <w:lang w:val="en-GB" w:eastAsia="en-US"/>
    </w:rPr>
  </w:style>
  <w:style w:type="paragraph" w:customStyle="1" w:styleId="PEPPOLMARKER">
    <w:name w:val="PEPPOL_MARKER"/>
    <w:basedOn w:val="Normal"/>
    <w:next w:val="PEPPOLNormal"/>
    <w:link w:val="PEPPOLMARKERTegn"/>
    <w:qFormat/>
    <w:rsid w:val="00095B4C"/>
    <w:pPr>
      <w:spacing w:before="200" w:after="120"/>
      <w:ind w:left="425"/>
      <w:outlineLvl w:val="9"/>
    </w:pPr>
    <w:rPr>
      <w:b/>
      <w:color w:val="253356"/>
      <w:sz w:val="32"/>
    </w:rPr>
  </w:style>
  <w:style w:type="character" w:customStyle="1" w:styleId="PEPPOLHeading3Tegn">
    <w:name w:val="PEPPOL_Heading_3 Tegn"/>
    <w:basedOn w:val="PEPPOLNormalTegn"/>
    <w:link w:val="PEPPOLHeading3"/>
    <w:rsid w:val="00C629C9"/>
    <w:rPr>
      <w:rFonts w:eastAsiaTheme="minorHAnsi" w:cs="Calibri"/>
      <w:b/>
      <w:color w:val="253356"/>
      <w:sz w:val="24"/>
      <w:lang w:val="en-GB" w:eastAsia="en-US"/>
    </w:rPr>
  </w:style>
  <w:style w:type="character" w:customStyle="1" w:styleId="PEPPOLMARKERTegn">
    <w:name w:val="PEPPOL_MARKER Tegn"/>
    <w:basedOn w:val="DefaultParagraphFont"/>
    <w:link w:val="PEPPOLMARKER"/>
    <w:rsid w:val="00095B4C"/>
    <w:rPr>
      <w:rFonts w:eastAsia="Times New Roman" w:cs="Calibri"/>
      <w:b/>
      <w:color w:val="253356"/>
      <w:sz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97ACB"/>
    <w:pPr>
      <w:keepNext w:val="0"/>
      <w:keepLines w:val="0"/>
      <w:ind w:right="0"/>
      <w:outlineLvl w:val="9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ACB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897ACB"/>
    <w:rPr>
      <w:vertAlign w:val="superscript"/>
    </w:rPr>
  </w:style>
  <w:style w:type="character" w:customStyle="1" w:styleId="apple-converted-space">
    <w:name w:val="apple-converted-space"/>
    <w:basedOn w:val="DefaultParagraphFont"/>
    <w:rsid w:val="0074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A0"/>
    <w:pPr>
      <w:keepNext/>
      <w:keepLines/>
      <w:ind w:right="62"/>
      <w:outlineLvl w:val="0"/>
    </w:pPr>
    <w:rPr>
      <w:rFonts w:eastAsia="Times New Roman" w:cs="Calibri"/>
      <w:lang w:val="en-US" w:eastAsia="en-US"/>
    </w:rPr>
  </w:style>
  <w:style w:type="paragraph" w:styleId="Heading1">
    <w:name w:val="heading 1"/>
    <w:basedOn w:val="PEPPOLNormal"/>
    <w:next w:val="PEPPOLNormal"/>
    <w:link w:val="Heading1Char"/>
    <w:uiPriority w:val="99"/>
    <w:qFormat/>
    <w:rsid w:val="004314B7"/>
    <w:pPr>
      <w:spacing w:before="200"/>
      <w:outlineLvl w:val="0"/>
    </w:pPr>
    <w:rPr>
      <w:rFonts w:ascii="Cambria" w:eastAsia="Times New Roman" w:hAnsi="Cambria" w:cs="Cambria"/>
      <w:b/>
      <w:bCs/>
      <w:color w:val="253356" w:themeColor="accent1" w:themeShade="80"/>
      <w:sz w:val="32"/>
      <w:szCs w:val="28"/>
    </w:rPr>
  </w:style>
  <w:style w:type="paragraph" w:styleId="Heading2">
    <w:name w:val="heading 2"/>
    <w:basedOn w:val="PEPPOLNormal"/>
    <w:next w:val="PEPPOLNormal"/>
    <w:link w:val="Heading2Char"/>
    <w:uiPriority w:val="99"/>
    <w:qFormat/>
    <w:rsid w:val="004A2A96"/>
    <w:pPr>
      <w:spacing w:before="200"/>
      <w:outlineLvl w:val="1"/>
    </w:pPr>
    <w:rPr>
      <w:rFonts w:ascii="Cambria" w:eastAsia="Times New Roman" w:hAnsi="Cambria" w:cs="Cambria"/>
      <w:b/>
      <w:bCs/>
      <w:color w:val="253356" w:themeColor="accent1" w:themeShade="80"/>
      <w:sz w:val="26"/>
      <w:szCs w:val="26"/>
    </w:rPr>
  </w:style>
  <w:style w:type="paragraph" w:styleId="Heading3">
    <w:name w:val="heading 3"/>
    <w:basedOn w:val="PEPPOLNormal"/>
    <w:next w:val="PEPPOLNormal"/>
    <w:link w:val="Heading3Char"/>
    <w:uiPriority w:val="99"/>
    <w:qFormat/>
    <w:rsid w:val="00793E67"/>
    <w:pPr>
      <w:spacing w:before="200"/>
      <w:outlineLvl w:val="2"/>
    </w:pPr>
    <w:rPr>
      <w:rFonts w:ascii="Cambria" w:eastAsia="Times New Roman" w:hAnsi="Cambria" w:cs="Cambria"/>
      <w:b/>
      <w:bCs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954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314B7"/>
    <w:rPr>
      <w:rFonts w:ascii="Cambria" w:eastAsia="Times New Roman" w:hAnsi="Cambria" w:cs="Cambria"/>
      <w:b/>
      <w:bCs/>
      <w:color w:val="253356" w:themeColor="accent1" w:themeShade="80"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rsid w:val="004A2A96"/>
    <w:rPr>
      <w:rFonts w:ascii="Cambria" w:eastAsia="Times New Roman" w:hAnsi="Cambria" w:cs="Cambria"/>
      <w:b/>
      <w:bCs/>
      <w:color w:val="253356" w:themeColor="accent1" w:themeShade="80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rsid w:val="00A87993"/>
    <w:rPr>
      <w:rFonts w:ascii="Cambria" w:eastAsia="Times New Roman" w:hAnsi="Cambria" w:cs="Cambria"/>
      <w:b/>
      <w:bCs/>
      <w:color w:val="253356" w:themeColor="accent1" w:themeShade="80"/>
      <w:lang w:val="en-US" w:eastAsia="en-US"/>
    </w:rPr>
  </w:style>
  <w:style w:type="paragraph" w:styleId="ListParagraph">
    <w:name w:val="List Paragraph"/>
    <w:basedOn w:val="Normal"/>
    <w:uiPriority w:val="34"/>
    <w:qFormat/>
    <w:rsid w:val="006468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57A4B"/>
  </w:style>
  <w:style w:type="character" w:customStyle="1" w:styleId="EndnoteTextChar">
    <w:name w:val="Endnote Text Char"/>
    <w:link w:val="EndnoteText"/>
    <w:uiPriority w:val="99"/>
    <w:semiHidden/>
    <w:rsid w:val="00057A4B"/>
    <w:rPr>
      <w:sz w:val="20"/>
      <w:szCs w:val="20"/>
    </w:rPr>
  </w:style>
  <w:style w:type="character" w:styleId="EndnoteReference">
    <w:name w:val="endnote reference"/>
    <w:uiPriority w:val="99"/>
    <w:semiHidden/>
    <w:rsid w:val="00057A4B"/>
    <w:rPr>
      <w:vertAlign w:val="superscript"/>
    </w:rPr>
  </w:style>
  <w:style w:type="paragraph" w:customStyle="1" w:styleId="TableContents">
    <w:name w:val="Table Contents"/>
    <w:basedOn w:val="Normal"/>
    <w:uiPriority w:val="99"/>
    <w:rsid w:val="006D1906"/>
    <w:pPr>
      <w:suppressLineNumbers/>
      <w:suppressAutoHyphens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59"/>
    <w:rsid w:val="001F03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CC"/>
  </w:style>
  <w:style w:type="paragraph" w:styleId="Footer">
    <w:name w:val="footer"/>
    <w:basedOn w:val="Normal"/>
    <w:link w:val="FooterChar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CC"/>
  </w:style>
  <w:style w:type="paragraph" w:styleId="NormalWeb">
    <w:name w:val="Normal (Web)"/>
    <w:basedOn w:val="Normal"/>
    <w:uiPriority w:val="99"/>
    <w:semiHidden/>
    <w:rsid w:val="00DC3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Ledetekst">
    <w:name w:val="Ledetekst"/>
    <w:uiPriority w:val="99"/>
    <w:rsid w:val="00651429"/>
    <w:rPr>
      <w:rFonts w:ascii="Arial" w:hAnsi="Arial" w:cs="Arial"/>
      <w:sz w:val="16"/>
      <w:szCs w:val="16"/>
      <w:lang w:val="en-GB" w:eastAsia="x-none"/>
    </w:rPr>
  </w:style>
  <w:style w:type="paragraph" w:customStyle="1" w:styleId="Adressefelt">
    <w:name w:val="Adressefelt"/>
    <w:basedOn w:val="Normal"/>
    <w:uiPriority w:val="99"/>
    <w:rsid w:val="00651429"/>
    <w:rPr>
      <w:rFonts w:ascii="Arial" w:hAnsi="Arial" w:cs="Arial"/>
      <w:lang w:val="en-GB"/>
    </w:rPr>
  </w:style>
  <w:style w:type="paragraph" w:customStyle="1" w:styleId="Signatur">
    <w:name w:val="Signatur"/>
    <w:basedOn w:val="Normal"/>
    <w:uiPriority w:val="99"/>
    <w:rsid w:val="00651429"/>
    <w:pPr>
      <w:tabs>
        <w:tab w:val="left" w:pos="4820"/>
      </w:tabs>
    </w:pPr>
    <w:rPr>
      <w:rFonts w:ascii="Arial" w:hAnsi="Arial" w:cs="Arial"/>
      <w:lang w:val="en-GB"/>
    </w:rPr>
  </w:style>
  <w:style w:type="character" w:styleId="CommentReference">
    <w:name w:val="annotation reference"/>
    <w:uiPriority w:val="99"/>
    <w:semiHidden/>
    <w:rsid w:val="001E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0DCB"/>
  </w:style>
  <w:style w:type="character" w:customStyle="1" w:styleId="CommentTextChar">
    <w:name w:val="Comment Text Char"/>
    <w:link w:val="CommentText"/>
    <w:uiPriority w:val="99"/>
    <w:semiHidden/>
    <w:rsid w:val="001E0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DCB"/>
    <w:rPr>
      <w:b/>
      <w:bCs/>
      <w:sz w:val="20"/>
      <w:szCs w:val="20"/>
    </w:rPr>
  </w:style>
  <w:style w:type="character" w:styleId="Hyperlink">
    <w:name w:val="Hyperlink"/>
    <w:uiPriority w:val="99"/>
    <w:rsid w:val="00226F84"/>
    <w:rPr>
      <w:color w:val="0000FF"/>
      <w:u w:val="single"/>
    </w:rPr>
  </w:style>
  <w:style w:type="paragraph" w:customStyle="1" w:styleId="Address">
    <w:name w:val="Address"/>
    <w:link w:val="AddressTegn"/>
    <w:qFormat/>
    <w:rsid w:val="001B2954"/>
    <w:pPr>
      <w:framePr w:wrap="around" w:vAnchor="page" w:hAnchor="margin" w:y="15480"/>
      <w:ind w:left="993"/>
      <w:suppressOverlap/>
    </w:pPr>
    <w:rPr>
      <w:rFonts w:eastAsia="Times New Roman" w:cs="Calibri"/>
      <w:noProof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B295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ddressTegn">
    <w:name w:val="Address Tegn"/>
    <w:basedOn w:val="DefaultParagraphFont"/>
    <w:link w:val="Address"/>
    <w:rsid w:val="001B2954"/>
    <w:rPr>
      <w:rFonts w:eastAsia="Times New Roman" w:cs="Calibri"/>
      <w:noProof/>
      <w:lang w:val="en-US" w:eastAsia="en-US"/>
    </w:rPr>
  </w:style>
  <w:style w:type="paragraph" w:customStyle="1" w:styleId="PEPPOLNormal">
    <w:name w:val="PEPPOL_Normal"/>
    <w:link w:val="PEPPOLNormalTegn"/>
    <w:qFormat/>
    <w:rsid w:val="00C629C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eastAsiaTheme="minorHAnsi" w:cs="Calibri"/>
      <w:sz w:val="22"/>
      <w:lang w:val="en-GB" w:eastAsia="en-US"/>
    </w:rPr>
  </w:style>
  <w:style w:type="paragraph" w:customStyle="1" w:styleId="PEPPOLTOP">
    <w:name w:val="PEPPOL_TOP"/>
    <w:link w:val="PEPPOLTOPTegn"/>
    <w:qFormat/>
    <w:rsid w:val="000731EA"/>
    <w:pPr>
      <w:tabs>
        <w:tab w:val="right" w:pos="10490"/>
      </w:tabs>
    </w:pPr>
    <w:rPr>
      <w:rFonts w:eastAsia="Times New Roman" w:cs="Calibri"/>
      <w:noProof/>
    </w:rPr>
  </w:style>
  <w:style w:type="character" w:customStyle="1" w:styleId="PEPPOLNormalTegn">
    <w:name w:val="PEPPOL_Normal Tegn"/>
    <w:basedOn w:val="DefaultParagraphFont"/>
    <w:link w:val="PEPPOLNormal"/>
    <w:rsid w:val="00C629C9"/>
    <w:rPr>
      <w:rFonts w:eastAsiaTheme="minorHAnsi" w:cs="Calibri"/>
      <w:sz w:val="22"/>
      <w:lang w:val="en-GB" w:eastAsia="en-US"/>
    </w:rPr>
  </w:style>
  <w:style w:type="paragraph" w:styleId="NoSpacing">
    <w:name w:val="No Spacing"/>
    <w:link w:val="NoSpacingChar"/>
    <w:uiPriority w:val="1"/>
    <w:qFormat/>
    <w:rsid w:val="00784020"/>
    <w:rPr>
      <w:rFonts w:asciiTheme="minorHAnsi" w:eastAsiaTheme="minorEastAsia" w:hAnsiTheme="minorHAnsi" w:cstheme="minorBidi"/>
      <w:sz w:val="22"/>
      <w:szCs w:val="22"/>
    </w:rPr>
  </w:style>
  <w:style w:type="character" w:customStyle="1" w:styleId="PEPPOLTOPTegn">
    <w:name w:val="PEPPOL_TOP Tegn"/>
    <w:basedOn w:val="HeaderChar"/>
    <w:link w:val="PEPPOLTOP"/>
    <w:rsid w:val="000731EA"/>
    <w:rPr>
      <w:rFonts w:eastAsia="Times New Roman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84020"/>
    <w:rPr>
      <w:rFonts w:asciiTheme="minorHAnsi" w:eastAsiaTheme="minorEastAsia" w:hAnsiTheme="minorHAnsi" w:cstheme="minorBidi"/>
      <w:sz w:val="22"/>
      <w:szCs w:val="22"/>
    </w:rPr>
  </w:style>
  <w:style w:type="paragraph" w:customStyle="1" w:styleId="PEPPOLTITTLE">
    <w:name w:val="PEPPOL TITTLE"/>
    <w:basedOn w:val="Normal"/>
    <w:next w:val="PEPPOLSUBTITLE"/>
    <w:link w:val="PEPPOLTITTLETegn"/>
    <w:qFormat/>
    <w:rsid w:val="005C60EF"/>
    <w:pPr>
      <w:keepNext w:val="0"/>
      <w:keepLines w:val="0"/>
      <w:spacing w:after="240"/>
      <w:ind w:right="0"/>
      <w:jc w:val="center"/>
      <w:outlineLvl w:val="9"/>
    </w:pPr>
    <w:rPr>
      <w:rFonts w:eastAsiaTheme="majorEastAsia" w:cstheme="majorBidi"/>
      <w:color w:val="253356" w:themeColor="accent1" w:themeShade="80"/>
      <w:sz w:val="72"/>
      <w:szCs w:val="72"/>
      <w:lang w:eastAsia="nb-NO"/>
    </w:rPr>
  </w:style>
  <w:style w:type="paragraph" w:customStyle="1" w:styleId="PEPPOLSUBTITLE">
    <w:name w:val="PEPPOL_SUBTITLE"/>
    <w:basedOn w:val="NoSpacing"/>
    <w:link w:val="PEPPOLSUBTITLETegn"/>
    <w:autoRedefine/>
    <w:qFormat/>
    <w:rsid w:val="00272A2E"/>
    <w:pPr>
      <w:jc w:val="center"/>
    </w:pPr>
    <w:rPr>
      <w:color w:val="253356" w:themeColor="accent1" w:themeShade="80"/>
      <w:sz w:val="36"/>
      <w:szCs w:val="28"/>
      <w:lang w:val="en-US"/>
    </w:rPr>
  </w:style>
  <w:style w:type="character" w:customStyle="1" w:styleId="PEPPOLTITTLETegn">
    <w:name w:val="PEPPOL TITTLE Tegn"/>
    <w:basedOn w:val="DefaultParagraphFont"/>
    <w:link w:val="PEPPOLTITTLE"/>
    <w:rsid w:val="005C60EF"/>
    <w:rPr>
      <w:rFonts w:eastAsiaTheme="majorEastAsia" w:cstheme="majorBidi"/>
      <w:color w:val="253356" w:themeColor="accent1" w:themeShade="80"/>
      <w:sz w:val="72"/>
      <w:szCs w:val="72"/>
      <w:lang w:val="en-US"/>
    </w:rPr>
  </w:style>
  <w:style w:type="paragraph" w:styleId="Title">
    <w:name w:val="Title"/>
    <w:basedOn w:val="PEPPOLTITTLE"/>
    <w:next w:val="Normal"/>
    <w:link w:val="TitleChar"/>
    <w:uiPriority w:val="10"/>
    <w:qFormat/>
    <w:rsid w:val="00831C0B"/>
  </w:style>
  <w:style w:type="character" w:customStyle="1" w:styleId="PEPPOLSUBTITLETegn">
    <w:name w:val="PEPPOL_SUBTITLE Tegn"/>
    <w:basedOn w:val="NoSpacingChar"/>
    <w:link w:val="PEPPOLSUBTITLE"/>
    <w:rsid w:val="00272A2E"/>
    <w:rPr>
      <w:rFonts w:asciiTheme="minorHAnsi" w:eastAsiaTheme="minorEastAsia" w:hAnsiTheme="minorHAnsi" w:cstheme="minorBidi"/>
      <w:color w:val="253356" w:themeColor="accent1" w:themeShade="80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1C0B"/>
    <w:rPr>
      <w:rFonts w:eastAsiaTheme="majorEastAsia" w:cstheme="majorBidi"/>
      <w:color w:val="253356" w:themeColor="accent1" w:themeShade="80"/>
      <w:sz w:val="96"/>
      <w:szCs w:val="72"/>
    </w:rPr>
  </w:style>
  <w:style w:type="paragraph" w:customStyle="1" w:styleId="Default">
    <w:name w:val="Default"/>
    <w:rsid w:val="009C2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455A25"/>
  </w:style>
  <w:style w:type="paragraph" w:styleId="TOCHeading">
    <w:name w:val="TOC Heading"/>
    <w:basedOn w:val="Heading1"/>
    <w:next w:val="Normal"/>
    <w:uiPriority w:val="39"/>
    <w:unhideWhenUsed/>
    <w:qFormat/>
    <w:rsid w:val="00276322"/>
    <w:pPr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Cs w:val="32"/>
      <w:lang w:val="nb-NO" w:eastAsia="nb-NO"/>
    </w:rPr>
  </w:style>
  <w:style w:type="paragraph" w:styleId="TOC1">
    <w:name w:val="toc 1"/>
    <w:basedOn w:val="PEPPOLNormal"/>
    <w:next w:val="PEPPOLNormal"/>
    <w:autoRedefine/>
    <w:uiPriority w:val="39"/>
    <w:unhideWhenUsed/>
    <w:rsid w:val="00095B4C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5954"/>
        <w:tab w:val="clear" w:pos="7088"/>
        <w:tab w:val="clear" w:pos="8222"/>
        <w:tab w:val="right" w:leader="dot" w:pos="1062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2934"/>
    <w:pPr>
      <w:tabs>
        <w:tab w:val="left" w:pos="1100"/>
        <w:tab w:val="left" w:pos="1540"/>
        <w:tab w:val="right" w:leader="dot" w:pos="10621"/>
      </w:tabs>
      <w:spacing w:after="100"/>
      <w:ind w:left="709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A2934"/>
    <w:pPr>
      <w:tabs>
        <w:tab w:val="left" w:pos="1418"/>
        <w:tab w:val="left" w:pos="1952"/>
        <w:tab w:val="right" w:leader="dot" w:pos="10621"/>
      </w:tabs>
      <w:spacing w:after="100"/>
      <w:ind w:left="851"/>
    </w:pPr>
  </w:style>
  <w:style w:type="paragraph" w:customStyle="1" w:styleId="PEPPOLTABELLER">
    <w:name w:val="PEPPOL _ TABELLER"/>
    <w:basedOn w:val="PEPPOLNormal"/>
    <w:link w:val="PEPPOLTABELLERTegn"/>
    <w:qFormat/>
    <w:rsid w:val="00C35476"/>
    <w:pPr>
      <w:spacing w:before="40" w:after="40"/>
      <w:ind w:left="96" w:right="130"/>
    </w:pPr>
    <w:rPr>
      <w:rFonts w:asciiTheme="minorHAnsi" w:hAnsiTheme="minorHAnsi"/>
      <w:szCs w:val="22"/>
    </w:rPr>
  </w:style>
  <w:style w:type="character" w:customStyle="1" w:styleId="PEPPOLTABELLERTegn">
    <w:name w:val="PEPPOL _ TABELLER Tegn"/>
    <w:basedOn w:val="PEPPOLNormalTegn"/>
    <w:link w:val="PEPPOLTABELLER"/>
    <w:rsid w:val="00C35476"/>
    <w:rPr>
      <w:rFonts w:asciiTheme="minorHAnsi" w:eastAsiaTheme="minorHAnsi" w:hAnsiTheme="minorHAnsi" w:cs="Calibri"/>
      <w:sz w:val="22"/>
      <w:szCs w:val="22"/>
      <w:lang w:val="en-GB" w:eastAsia="en-US"/>
    </w:rPr>
  </w:style>
  <w:style w:type="paragraph" w:customStyle="1" w:styleId="PEPPOLHeadding1">
    <w:name w:val="PEPPOL_Headding_1"/>
    <w:basedOn w:val="PEPPOLNormal"/>
    <w:next w:val="PEPPOLNormal"/>
    <w:link w:val="PEPPOLHeadding1Tegn"/>
    <w:qFormat/>
    <w:rsid w:val="00C629C9"/>
    <w:pPr>
      <w:numPr>
        <w:numId w:val="2"/>
      </w:numPr>
      <w:spacing w:before="200"/>
      <w:ind w:left="992" w:hanging="425"/>
      <w:outlineLvl w:val="0"/>
    </w:pPr>
    <w:rPr>
      <w:b/>
      <w:color w:val="253356"/>
      <w:sz w:val="32"/>
    </w:rPr>
  </w:style>
  <w:style w:type="paragraph" w:customStyle="1" w:styleId="PEPPOLHeadding2">
    <w:name w:val="PEPPOL_Headding_2"/>
    <w:basedOn w:val="PEPPOLHeadding1"/>
    <w:next w:val="PEPPOLNormal"/>
    <w:link w:val="PEPPOLHeadding2Tegn"/>
    <w:qFormat/>
    <w:rsid w:val="00C629C9"/>
    <w:pPr>
      <w:numPr>
        <w:ilvl w:val="1"/>
      </w:numPr>
      <w:tabs>
        <w:tab w:val="left" w:pos="993"/>
      </w:tabs>
      <w:suppressAutoHyphens/>
      <w:ind w:left="998" w:hanging="431"/>
      <w:outlineLvl w:val="1"/>
    </w:pPr>
    <w:rPr>
      <w:sz w:val="28"/>
    </w:rPr>
  </w:style>
  <w:style w:type="character" w:customStyle="1" w:styleId="PEPPOLHeadding1Tegn">
    <w:name w:val="PEPPOL_Headding_1 Tegn"/>
    <w:basedOn w:val="PEPPOLNormalTegn"/>
    <w:link w:val="PEPPOLHeadding1"/>
    <w:rsid w:val="00C629C9"/>
    <w:rPr>
      <w:rFonts w:eastAsiaTheme="minorHAnsi" w:cs="Calibri"/>
      <w:b/>
      <w:color w:val="253356"/>
      <w:sz w:val="32"/>
      <w:lang w:val="en-GB" w:eastAsia="en-US"/>
    </w:rPr>
  </w:style>
  <w:style w:type="paragraph" w:customStyle="1" w:styleId="PEPPOLHeading3">
    <w:name w:val="PEPPOL_Heading_3"/>
    <w:basedOn w:val="PEPPOLHeadding2"/>
    <w:next w:val="PEPPOLNormal"/>
    <w:link w:val="PEPPOLHeading3Tegn"/>
    <w:qFormat/>
    <w:rsid w:val="00C629C9"/>
    <w:pPr>
      <w:numPr>
        <w:ilvl w:val="2"/>
      </w:numPr>
      <w:tabs>
        <w:tab w:val="clear" w:pos="993"/>
        <w:tab w:val="left" w:pos="1134"/>
      </w:tabs>
      <w:ind w:left="1072" w:hanging="505"/>
      <w:outlineLvl w:val="2"/>
    </w:pPr>
    <w:rPr>
      <w:sz w:val="24"/>
    </w:rPr>
  </w:style>
  <w:style w:type="character" w:customStyle="1" w:styleId="PEPPOLHeadding2Tegn">
    <w:name w:val="PEPPOL_Headding_2 Tegn"/>
    <w:basedOn w:val="PEPPOLNormalTegn"/>
    <w:link w:val="PEPPOLHeadding2"/>
    <w:rsid w:val="00C629C9"/>
    <w:rPr>
      <w:rFonts w:eastAsiaTheme="minorHAnsi" w:cs="Calibri"/>
      <w:b/>
      <w:color w:val="253356"/>
      <w:sz w:val="28"/>
      <w:lang w:val="en-GB" w:eastAsia="en-US"/>
    </w:rPr>
  </w:style>
  <w:style w:type="paragraph" w:customStyle="1" w:styleId="PEPPOLMARKER">
    <w:name w:val="PEPPOL_MARKER"/>
    <w:basedOn w:val="Normal"/>
    <w:next w:val="PEPPOLNormal"/>
    <w:link w:val="PEPPOLMARKERTegn"/>
    <w:qFormat/>
    <w:rsid w:val="00095B4C"/>
    <w:pPr>
      <w:spacing w:before="200" w:after="120"/>
      <w:ind w:left="425"/>
      <w:outlineLvl w:val="9"/>
    </w:pPr>
    <w:rPr>
      <w:b/>
      <w:color w:val="253356"/>
      <w:sz w:val="32"/>
    </w:rPr>
  </w:style>
  <w:style w:type="character" w:customStyle="1" w:styleId="PEPPOLHeading3Tegn">
    <w:name w:val="PEPPOL_Heading_3 Tegn"/>
    <w:basedOn w:val="PEPPOLNormalTegn"/>
    <w:link w:val="PEPPOLHeading3"/>
    <w:rsid w:val="00C629C9"/>
    <w:rPr>
      <w:rFonts w:eastAsiaTheme="minorHAnsi" w:cs="Calibri"/>
      <w:b/>
      <w:color w:val="253356"/>
      <w:sz w:val="24"/>
      <w:lang w:val="en-GB" w:eastAsia="en-US"/>
    </w:rPr>
  </w:style>
  <w:style w:type="character" w:customStyle="1" w:styleId="PEPPOLMARKERTegn">
    <w:name w:val="PEPPOL_MARKER Tegn"/>
    <w:basedOn w:val="DefaultParagraphFont"/>
    <w:link w:val="PEPPOLMARKER"/>
    <w:rsid w:val="00095B4C"/>
    <w:rPr>
      <w:rFonts w:eastAsia="Times New Roman" w:cs="Calibri"/>
      <w:b/>
      <w:color w:val="253356"/>
      <w:sz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97ACB"/>
    <w:pPr>
      <w:keepNext w:val="0"/>
      <w:keepLines w:val="0"/>
      <w:ind w:right="0"/>
      <w:outlineLvl w:val="9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7ACB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897ACB"/>
    <w:rPr>
      <w:vertAlign w:val="superscript"/>
    </w:rPr>
  </w:style>
  <w:style w:type="character" w:customStyle="1" w:styleId="apple-converted-space">
    <w:name w:val="apple-converted-space"/>
    <w:basedOn w:val="DefaultParagraphFont"/>
    <w:rsid w:val="007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Rond-point Schuman 6, box 5, 1040 Brussels, Belgium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1F0D2-6486-416B-BD50-2CCA753C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1461</Words>
  <Characters>8329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OpenPEPPOL Capacity Building Deliverable</vt:lpstr>
      <vt:lpstr>OpenPEPPOL Capacity Building Deliverable</vt:lpstr>
      <vt:lpstr>OpenPEPPOL Capacity Building Deliverable</vt:lpstr>
    </vt:vector>
  </TitlesOfParts>
  <Company>OpenPEPPOL AISBL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OpenPEPPOL Capacity Building Deliverable</dc:title>
  <dc:subject>Security; time stamps and checksums</dc:subject>
  <dc:creator>Rasmussen, Christian</dc:creator>
  <cp:lastModifiedBy>Niels Pagh-Rasmussen</cp:lastModifiedBy>
  <cp:revision>3</cp:revision>
  <cp:lastPrinted>2015-09-29T15:01:00Z</cp:lastPrinted>
  <dcterms:created xsi:type="dcterms:W3CDTF">2017-05-16T20:22:00Z</dcterms:created>
  <dcterms:modified xsi:type="dcterms:W3CDTF">2017-05-16T20:23:00Z</dcterms:modified>
</cp:coreProperties>
</file>